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986B1F" w:rsidRDefault="00193102" w:rsidP="00AD541C">
      <w:pPr>
        <w:jc w:val="center"/>
        <w:rPr>
          <w:b/>
        </w:rPr>
      </w:pPr>
      <w:r w:rsidRPr="00986B1F">
        <w:rPr>
          <w:b/>
        </w:rPr>
        <w:t>The Variation of He</w:t>
      </w:r>
      <w:r w:rsidR="00986B1F" w:rsidRPr="00986B1F">
        <w:rPr>
          <w:b/>
        </w:rPr>
        <w:t>lium</w:t>
      </w:r>
      <w:r w:rsidRPr="00986B1F">
        <w:rPr>
          <w:b/>
        </w:rPr>
        <w:t xml:space="preserve"> and Xe</w:t>
      </w:r>
      <w:r w:rsidR="00986B1F" w:rsidRPr="00986B1F">
        <w:rPr>
          <w:b/>
        </w:rPr>
        <w:t>non Gas</w:t>
      </w:r>
      <w:r w:rsidRPr="00986B1F">
        <w:rPr>
          <w:b/>
        </w:rPr>
        <w:t xml:space="preserve"> Pressure as a Function of Temperature, Volume and Mole Count</w:t>
      </w:r>
    </w:p>
    <w:p w:rsidR="001F65F2" w:rsidRPr="005F086B" w:rsidRDefault="005F086B" w:rsidP="005F086B">
      <w:pPr>
        <w:rPr>
          <w:i/>
        </w:rPr>
      </w:pPr>
      <w:r>
        <w:rPr>
          <w:i/>
        </w:rPr>
        <w:t xml:space="preserve">                      </w:t>
      </w:r>
      <w:r w:rsidR="00986B1F">
        <w:rPr>
          <w:i/>
        </w:rPr>
        <w:t xml:space="preserve">                             H.</w:t>
      </w:r>
      <w:r>
        <w:rPr>
          <w:i/>
        </w:rPr>
        <w:t xml:space="preserve"> Potter</w:t>
      </w:r>
      <w:proofErr w:type="gramStart"/>
      <w:r w:rsidR="001F65F2" w:rsidRPr="005F086B">
        <w:rPr>
          <w:i/>
        </w:rPr>
        <w:t>,  Department</w:t>
      </w:r>
      <w:proofErr w:type="gramEnd"/>
      <w:r w:rsidR="001F65F2" w:rsidRPr="005F086B">
        <w:rPr>
          <w:i/>
        </w:rPr>
        <w:t xml:space="preserve"> of Spells and Incantations</w:t>
      </w:r>
    </w:p>
    <w:p w:rsidR="00885022" w:rsidRPr="005F086B" w:rsidRDefault="005F086B" w:rsidP="001F65F2">
      <w:pPr>
        <w:pStyle w:val="ListParagraph"/>
        <w:ind w:left="2520"/>
        <w:rPr>
          <w:i/>
        </w:rPr>
      </w:pPr>
      <w:r>
        <w:rPr>
          <w:i/>
        </w:rPr>
        <w:t xml:space="preserve">   Hogwarts </w:t>
      </w:r>
      <w:r w:rsidR="001F65F2" w:rsidRPr="005F086B">
        <w:rPr>
          <w:i/>
        </w:rPr>
        <w:t>University, Oxford, England NW123</w:t>
      </w:r>
    </w:p>
    <w:p w:rsidR="009922D5" w:rsidRPr="00153700" w:rsidRDefault="00153700" w:rsidP="00153700">
      <w:pPr>
        <w:ind w:left="14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85191E" w:rsidRPr="00153700">
        <w:rPr>
          <w:b/>
          <w:sz w:val="18"/>
          <w:szCs w:val="18"/>
        </w:rPr>
        <w:t xml:space="preserve">         submitted 3/15/2015</w:t>
      </w:r>
      <w:r w:rsidRPr="00153700">
        <w:rPr>
          <w:b/>
          <w:sz w:val="18"/>
          <w:szCs w:val="18"/>
        </w:rPr>
        <w:t>; accepted 6/16/2016</w:t>
      </w:r>
    </w:p>
    <w:p w:rsidR="0085191E" w:rsidRPr="0085191E" w:rsidRDefault="0085191E" w:rsidP="009922D5">
      <w:pPr>
        <w:pStyle w:val="ListParagraph"/>
        <w:ind w:left="2880" w:firstLine="720"/>
        <w:rPr>
          <w:b/>
          <w:sz w:val="18"/>
          <w:szCs w:val="18"/>
        </w:rPr>
      </w:pPr>
    </w:p>
    <w:p w:rsidR="00885022" w:rsidRPr="00144C96" w:rsidRDefault="00AD541C" w:rsidP="0041545D">
      <w:pPr>
        <w:rPr>
          <w:b/>
          <w:sz w:val="24"/>
          <w:szCs w:val="24"/>
        </w:rPr>
      </w:pPr>
      <w:r w:rsidRPr="00144C96">
        <w:rPr>
          <w:b/>
          <w:sz w:val="24"/>
          <w:szCs w:val="24"/>
        </w:rPr>
        <w:t>Abstract</w:t>
      </w:r>
    </w:p>
    <w:p w:rsidR="00E533CD" w:rsidRPr="001F65F2" w:rsidRDefault="00306460">
      <w:r w:rsidRPr="0041545D">
        <w:rPr>
          <w:sz w:val="20"/>
          <w:szCs w:val="20"/>
        </w:rPr>
        <w:t xml:space="preserve">The </w:t>
      </w:r>
      <w:proofErr w:type="spellStart"/>
      <w:r w:rsidRPr="0041545D">
        <w:rPr>
          <w:sz w:val="20"/>
          <w:szCs w:val="20"/>
        </w:rPr>
        <w:t>Forey</w:t>
      </w:r>
      <w:proofErr w:type="spellEnd"/>
      <w:r w:rsidR="00164DCE" w:rsidRPr="0041545D">
        <w:rPr>
          <w:sz w:val="20"/>
          <w:szCs w:val="20"/>
        </w:rPr>
        <w:t xml:space="preserve"> technique</w:t>
      </w:r>
      <w:r w:rsidR="00885022" w:rsidRPr="0041545D">
        <w:rPr>
          <w:sz w:val="20"/>
          <w:szCs w:val="20"/>
        </w:rPr>
        <w:t xml:space="preserve"> was </w:t>
      </w:r>
      <w:r w:rsidR="00193102" w:rsidRPr="0041545D">
        <w:rPr>
          <w:sz w:val="20"/>
          <w:szCs w:val="20"/>
        </w:rPr>
        <w:t xml:space="preserve">used to measure </w:t>
      </w:r>
      <w:proofErr w:type="gramStart"/>
      <w:r w:rsidR="00193102" w:rsidRPr="0041545D">
        <w:rPr>
          <w:sz w:val="20"/>
          <w:szCs w:val="20"/>
        </w:rPr>
        <w:t>He</w:t>
      </w:r>
      <w:proofErr w:type="gramEnd"/>
      <w:r w:rsidR="00193102" w:rsidRPr="0041545D">
        <w:rPr>
          <w:sz w:val="20"/>
          <w:szCs w:val="20"/>
        </w:rPr>
        <w:t xml:space="preserve"> and </w:t>
      </w:r>
      <w:proofErr w:type="spellStart"/>
      <w:r w:rsidR="00193102" w:rsidRPr="0041545D">
        <w:rPr>
          <w:sz w:val="20"/>
          <w:szCs w:val="20"/>
        </w:rPr>
        <w:t>Xe</w:t>
      </w:r>
      <w:proofErr w:type="spellEnd"/>
      <w:r w:rsidR="00193102" w:rsidRPr="0041545D">
        <w:rPr>
          <w:sz w:val="20"/>
          <w:szCs w:val="20"/>
        </w:rPr>
        <w:t xml:space="preserve"> </w:t>
      </w:r>
      <w:r w:rsidR="00BB6801" w:rsidRPr="0041545D">
        <w:rPr>
          <w:sz w:val="20"/>
          <w:szCs w:val="20"/>
        </w:rPr>
        <w:t xml:space="preserve">gas </w:t>
      </w:r>
      <w:r w:rsidR="00193102" w:rsidRPr="0041545D">
        <w:rPr>
          <w:sz w:val="20"/>
          <w:szCs w:val="20"/>
        </w:rPr>
        <w:t>pressures</w:t>
      </w:r>
      <w:r w:rsidR="00885022" w:rsidRPr="0041545D">
        <w:rPr>
          <w:sz w:val="20"/>
          <w:szCs w:val="20"/>
        </w:rPr>
        <w:t xml:space="preserve"> </w:t>
      </w:r>
      <w:r w:rsidR="00193102" w:rsidRPr="0041545D">
        <w:rPr>
          <w:sz w:val="20"/>
          <w:szCs w:val="20"/>
        </w:rPr>
        <w:t>over the ranges:</w:t>
      </w:r>
      <w:r w:rsidR="00247243" w:rsidRPr="0041545D">
        <w:rPr>
          <w:sz w:val="20"/>
          <w:szCs w:val="20"/>
        </w:rPr>
        <w:t xml:space="preserve"> 100-800 K, 0.1-20 moles and 1-2</w:t>
      </w:r>
      <w:r w:rsidR="00193102" w:rsidRPr="0041545D">
        <w:rPr>
          <w:sz w:val="20"/>
          <w:szCs w:val="20"/>
        </w:rPr>
        <w:t>00 L.</w:t>
      </w:r>
      <w:r w:rsidR="00E533CD" w:rsidRPr="0041545D">
        <w:rPr>
          <w:sz w:val="20"/>
          <w:szCs w:val="20"/>
        </w:rPr>
        <w:t xml:space="preserve">  Deviance of observed pressure</w:t>
      </w:r>
      <w:r w:rsidR="00885022" w:rsidRPr="0041545D">
        <w:rPr>
          <w:sz w:val="20"/>
          <w:szCs w:val="20"/>
        </w:rPr>
        <w:t>s</w:t>
      </w:r>
      <w:r w:rsidR="00E533CD" w:rsidRPr="0041545D">
        <w:rPr>
          <w:sz w:val="20"/>
          <w:szCs w:val="20"/>
        </w:rPr>
        <w:t xml:space="preserve"> fr</w:t>
      </w:r>
      <w:r w:rsidR="009714A6">
        <w:rPr>
          <w:sz w:val="20"/>
          <w:szCs w:val="20"/>
        </w:rPr>
        <w:t>om Ideal Gas Law predictions</w:t>
      </w:r>
      <w:r w:rsidR="00885022" w:rsidRPr="0041545D">
        <w:rPr>
          <w:sz w:val="20"/>
          <w:szCs w:val="20"/>
        </w:rPr>
        <w:t xml:space="preserve"> </w:t>
      </w:r>
      <w:r w:rsidR="00651EDC">
        <w:rPr>
          <w:sz w:val="20"/>
          <w:szCs w:val="20"/>
        </w:rPr>
        <w:t xml:space="preserve"> modeled using</w:t>
      </w:r>
      <w:r w:rsidR="00E533CD" w:rsidRPr="0041545D">
        <w:rPr>
          <w:sz w:val="20"/>
          <w:szCs w:val="20"/>
        </w:rPr>
        <w:t xml:space="preserve"> just the van der Waals </w:t>
      </w:r>
      <w:r w:rsidR="00885022" w:rsidRPr="0041545D">
        <w:rPr>
          <w:rFonts w:ascii="Arial Black" w:hAnsi="Arial Black"/>
          <w:b/>
          <w:sz w:val="20"/>
          <w:szCs w:val="20"/>
        </w:rPr>
        <w:t>a</w:t>
      </w:r>
      <w:r w:rsidR="00885022" w:rsidRPr="0041545D">
        <w:rPr>
          <w:sz w:val="20"/>
          <w:szCs w:val="20"/>
        </w:rPr>
        <w:t xml:space="preserve"> </w:t>
      </w:r>
      <w:r w:rsidR="00E533CD" w:rsidRPr="0041545D">
        <w:rPr>
          <w:sz w:val="20"/>
          <w:szCs w:val="20"/>
        </w:rPr>
        <w:t>correction</w:t>
      </w:r>
      <w:r w:rsidR="00885022" w:rsidRPr="0041545D">
        <w:rPr>
          <w:sz w:val="20"/>
          <w:szCs w:val="20"/>
        </w:rPr>
        <w:t xml:space="preserve"> for intermolecular interaction</w:t>
      </w:r>
      <w:r w:rsidR="009D7A24" w:rsidRPr="0041545D">
        <w:rPr>
          <w:sz w:val="20"/>
          <w:szCs w:val="20"/>
        </w:rPr>
        <w:t xml:space="preserve"> led</w:t>
      </w:r>
      <w:r w:rsidR="00173F8A" w:rsidRPr="0041545D">
        <w:rPr>
          <w:sz w:val="20"/>
          <w:szCs w:val="20"/>
        </w:rPr>
        <w:t xml:space="preserve"> to: </w:t>
      </w:r>
      <w:r w:rsidR="00885022" w:rsidRPr="0041545D">
        <w:rPr>
          <w:sz w:val="20"/>
          <w:szCs w:val="20"/>
        </w:rPr>
        <w:t xml:space="preserve"> </w:t>
      </w:r>
      <w:r w:rsidR="00885022" w:rsidRPr="0041545D">
        <w:rPr>
          <w:rFonts w:ascii="Arial Black" w:hAnsi="Arial Black"/>
          <w:b/>
          <w:sz w:val="20"/>
          <w:szCs w:val="20"/>
        </w:rPr>
        <w:t>a</w:t>
      </w:r>
      <w:r w:rsidR="00885022" w:rsidRPr="0041545D">
        <w:rPr>
          <w:sz w:val="20"/>
          <w:szCs w:val="20"/>
        </w:rPr>
        <w:t>(He)=0.034(atm-L</w:t>
      </w:r>
      <w:r w:rsidR="00885022" w:rsidRPr="0041545D">
        <w:rPr>
          <w:sz w:val="20"/>
          <w:szCs w:val="20"/>
          <w:vertAlign w:val="superscript"/>
        </w:rPr>
        <w:t>2</w:t>
      </w:r>
      <w:r w:rsidR="00885022" w:rsidRPr="0041545D">
        <w:rPr>
          <w:sz w:val="20"/>
          <w:szCs w:val="20"/>
        </w:rPr>
        <w:t>/mol</w:t>
      </w:r>
      <w:r w:rsidR="00284F14" w:rsidRPr="0041545D">
        <w:rPr>
          <w:sz w:val="20"/>
          <w:szCs w:val="20"/>
          <w:vertAlign w:val="superscript"/>
        </w:rPr>
        <w:t>2</w:t>
      </w:r>
      <w:r w:rsidR="00885022" w:rsidRPr="0041545D">
        <w:rPr>
          <w:sz w:val="20"/>
          <w:szCs w:val="20"/>
        </w:rPr>
        <w:t xml:space="preserve">) ; </w:t>
      </w:r>
      <w:r w:rsidR="00885022" w:rsidRPr="0041545D">
        <w:rPr>
          <w:rFonts w:ascii="Arial Black" w:hAnsi="Arial Black"/>
          <w:sz w:val="20"/>
          <w:szCs w:val="20"/>
        </w:rPr>
        <w:t>a</w:t>
      </w:r>
      <w:r w:rsidR="00885022" w:rsidRPr="0041545D">
        <w:rPr>
          <w:sz w:val="20"/>
          <w:szCs w:val="20"/>
        </w:rPr>
        <w:t>(</w:t>
      </w:r>
      <w:proofErr w:type="spellStart"/>
      <w:r w:rsidR="00885022" w:rsidRPr="0041545D">
        <w:rPr>
          <w:sz w:val="20"/>
          <w:szCs w:val="20"/>
        </w:rPr>
        <w:t>Xe</w:t>
      </w:r>
      <w:proofErr w:type="spellEnd"/>
      <w:r w:rsidR="00885022" w:rsidRPr="0041545D">
        <w:rPr>
          <w:sz w:val="20"/>
          <w:szCs w:val="20"/>
        </w:rPr>
        <w:t>) =4.25(atm-L</w:t>
      </w:r>
      <w:r w:rsidR="00885022" w:rsidRPr="0041545D">
        <w:rPr>
          <w:sz w:val="20"/>
          <w:szCs w:val="20"/>
          <w:vertAlign w:val="superscript"/>
        </w:rPr>
        <w:t>2</w:t>
      </w:r>
      <w:r w:rsidR="00885022" w:rsidRPr="0041545D">
        <w:rPr>
          <w:sz w:val="20"/>
          <w:szCs w:val="20"/>
        </w:rPr>
        <w:t>/mol</w:t>
      </w:r>
      <w:r w:rsidR="00284F14" w:rsidRPr="0041545D">
        <w:rPr>
          <w:sz w:val="20"/>
          <w:szCs w:val="20"/>
          <w:vertAlign w:val="superscript"/>
        </w:rPr>
        <w:t>2</w:t>
      </w:r>
      <w:r w:rsidR="00885022" w:rsidRPr="0041545D">
        <w:rPr>
          <w:sz w:val="20"/>
          <w:szCs w:val="20"/>
        </w:rPr>
        <w:t>)</w:t>
      </w:r>
      <w:r w:rsidR="00173F8A" w:rsidRPr="0041545D">
        <w:rPr>
          <w:sz w:val="20"/>
          <w:szCs w:val="20"/>
        </w:rPr>
        <w:t xml:space="preserve"> in agreement with accepted values.</w:t>
      </w:r>
      <w:r w:rsidR="00BB6801" w:rsidRPr="0041545D">
        <w:rPr>
          <w:sz w:val="20"/>
          <w:szCs w:val="20"/>
        </w:rPr>
        <w:tab/>
      </w:r>
      <w:r w:rsidR="00BB6801" w:rsidRPr="001F65F2">
        <w:tab/>
      </w:r>
      <w:r w:rsidR="009922D5" w:rsidRPr="001F65F2">
        <w:tab/>
      </w:r>
      <w:r w:rsidR="009922D5" w:rsidRPr="001F65F2">
        <w:tab/>
      </w:r>
      <w:r w:rsidR="009922D5" w:rsidRPr="001F65F2">
        <w:tab/>
      </w:r>
      <w:r w:rsidR="009922D5" w:rsidRPr="001F65F2">
        <w:tab/>
      </w:r>
      <w:r w:rsidR="0041545D">
        <w:tab/>
      </w:r>
      <w:r w:rsidR="0041545D">
        <w:tab/>
      </w:r>
      <w:r w:rsidR="002844B6">
        <w:t>(54</w:t>
      </w:r>
      <w:r w:rsidR="00AD541C" w:rsidRPr="001F65F2">
        <w:t xml:space="preserve"> words</w:t>
      </w:r>
      <w:r w:rsidR="004F3420">
        <w:t xml:space="preserve"> &amp;</w:t>
      </w:r>
      <w:r w:rsidR="00B4556B" w:rsidRPr="001F65F2">
        <w:t xml:space="preserve"> no.</w:t>
      </w:r>
      <w:r w:rsidR="00AD541C" w:rsidRPr="001F65F2">
        <w:t>)</w:t>
      </w:r>
    </w:p>
    <w:p w:rsidR="00E533CD" w:rsidRDefault="00E533CD"/>
    <w:p w:rsidR="00AD541C" w:rsidRPr="00144C96" w:rsidRDefault="00AD541C" w:rsidP="00885022">
      <w:pPr>
        <w:rPr>
          <w:b/>
          <w:sz w:val="24"/>
          <w:szCs w:val="24"/>
        </w:rPr>
      </w:pPr>
      <w:r w:rsidRPr="00144C96">
        <w:rPr>
          <w:b/>
          <w:sz w:val="24"/>
          <w:szCs w:val="24"/>
        </w:rPr>
        <w:t>Introduction</w:t>
      </w:r>
    </w:p>
    <w:p w:rsidR="0067394D" w:rsidRPr="00AD541C" w:rsidRDefault="0067394D" w:rsidP="00885022">
      <w:pPr>
        <w:rPr>
          <w:b/>
        </w:rPr>
      </w:pPr>
    </w:p>
    <w:p w:rsidR="009D7A24" w:rsidRPr="00AD541C" w:rsidRDefault="00173F8A" w:rsidP="00AD541C">
      <w:pPr>
        <w:spacing w:line="360" w:lineRule="auto"/>
      </w:pPr>
      <w:r w:rsidRPr="00AD541C">
        <w:t>Using t</w:t>
      </w:r>
      <w:r w:rsidR="00306460">
        <w:t>he method of Forey</w:t>
      </w:r>
      <w:r w:rsidRPr="00AD541C">
        <w:rPr>
          <w:vertAlign w:val="superscript"/>
        </w:rPr>
        <w:t>1</w:t>
      </w:r>
      <w:r w:rsidRPr="00AD541C">
        <w:rPr>
          <w:vertAlign w:val="subscript"/>
        </w:rPr>
        <w:t xml:space="preserve">, </w:t>
      </w:r>
      <w:r w:rsidRPr="00AD541C">
        <w:t xml:space="preserve"> the observed pressure</w:t>
      </w:r>
      <w:r w:rsidRPr="00AD541C">
        <w:rPr>
          <w:b/>
        </w:rPr>
        <w:t>, P</w:t>
      </w:r>
      <w:r w:rsidR="003B67A2" w:rsidRPr="003B67A2">
        <w:t>(</w:t>
      </w:r>
      <w:proofErr w:type="spellStart"/>
      <w:r w:rsidR="003B67A2" w:rsidRPr="003B67A2">
        <w:t>atm</w:t>
      </w:r>
      <w:proofErr w:type="spellEnd"/>
      <w:r w:rsidR="003B67A2" w:rsidRPr="003B67A2">
        <w:t>)</w:t>
      </w:r>
      <w:r w:rsidR="003B67A2">
        <w:rPr>
          <w:b/>
        </w:rPr>
        <w:t xml:space="preserve"> </w:t>
      </w:r>
      <w:r w:rsidRPr="00AD541C">
        <w:t xml:space="preserve">, of He and </w:t>
      </w:r>
      <w:proofErr w:type="spellStart"/>
      <w:r w:rsidRPr="00AD541C">
        <w:t>Xe</w:t>
      </w:r>
      <w:proofErr w:type="spellEnd"/>
      <w:r w:rsidRPr="00AD541C">
        <w:t xml:space="preserve"> over </w:t>
      </w:r>
      <w:r w:rsidR="009D7A24" w:rsidRPr="00AD541C">
        <w:t xml:space="preserve">100-800 K, 0.1-20 mol </w:t>
      </w:r>
      <w:r w:rsidR="00247243">
        <w:t>and 1-2</w:t>
      </w:r>
      <w:r w:rsidRPr="00AD541C">
        <w:t>00 L</w:t>
      </w:r>
      <w:r w:rsidR="009D7A24" w:rsidRPr="00AD541C">
        <w:t xml:space="preserve"> </w:t>
      </w:r>
      <w:r w:rsidRPr="00AD541C">
        <w:t xml:space="preserve"> </w:t>
      </w:r>
      <w:r w:rsidR="009D7A24" w:rsidRPr="00AD541C">
        <w:t xml:space="preserve">are </w:t>
      </w:r>
      <w:r w:rsidRPr="00AD541C">
        <w:t>recorded and the results compared against the p</w:t>
      </w:r>
      <w:r w:rsidR="009D7A24" w:rsidRPr="00AD541C">
        <w:t>redictions of the simplified Van der Waals equation</w:t>
      </w:r>
      <w:r w:rsidR="009D7A24" w:rsidRPr="00AD541C">
        <w:rPr>
          <w:vertAlign w:val="superscript"/>
        </w:rPr>
        <w:t>2</w:t>
      </w:r>
      <w:r w:rsidR="009D7A24" w:rsidRPr="00AD541C">
        <w:t xml:space="preserve">, </w:t>
      </w:r>
      <w:r w:rsidR="009D7A24" w:rsidRPr="00AD541C">
        <w:rPr>
          <w:b/>
          <w:u w:val="single"/>
        </w:rPr>
        <w:t>1</w:t>
      </w:r>
      <w:r w:rsidRPr="00AD541C">
        <w:t xml:space="preserve">, where </w:t>
      </w:r>
      <w:r w:rsidRPr="00AD541C">
        <w:rPr>
          <w:b/>
        </w:rPr>
        <w:t xml:space="preserve">n </w:t>
      </w:r>
      <w:r w:rsidRPr="00AD541C">
        <w:t xml:space="preserve">are moles of gas, </w:t>
      </w:r>
      <w:r w:rsidRPr="00AD541C">
        <w:rPr>
          <w:b/>
        </w:rPr>
        <w:t>T</w:t>
      </w:r>
      <w:r w:rsidRPr="00AD541C">
        <w:t xml:space="preserve"> is temperature in Kelvin</w:t>
      </w:r>
      <w:r w:rsidR="009D7A24" w:rsidRPr="00AD541C">
        <w:t>, (K)</w:t>
      </w:r>
      <w:r w:rsidRPr="00AD541C">
        <w:t xml:space="preserve">, </w:t>
      </w:r>
      <w:r w:rsidRPr="00AD541C">
        <w:rPr>
          <w:b/>
        </w:rPr>
        <w:t>V</w:t>
      </w:r>
      <w:r w:rsidRPr="00AD541C">
        <w:t xml:space="preserve"> is volume in liters</w:t>
      </w:r>
      <w:r w:rsidR="009D7A24" w:rsidRPr="00AD541C">
        <w:t xml:space="preserve"> (L)</w:t>
      </w:r>
      <w:r w:rsidRPr="00AD541C">
        <w:t xml:space="preserve">, </w:t>
      </w:r>
      <w:r w:rsidRPr="00AD541C">
        <w:rPr>
          <w:b/>
        </w:rPr>
        <w:t xml:space="preserve">P </w:t>
      </w:r>
      <w:r w:rsidRPr="00AD541C">
        <w:t>is measured in atmosphere</w:t>
      </w:r>
      <w:r w:rsidR="009D7A24" w:rsidRPr="00AD541C">
        <w:t>s (</w:t>
      </w:r>
      <w:proofErr w:type="spellStart"/>
      <w:r w:rsidR="009D7A24" w:rsidRPr="00AD541C">
        <w:t>atm</w:t>
      </w:r>
      <w:proofErr w:type="spellEnd"/>
      <w:r w:rsidR="009D7A24" w:rsidRPr="00AD541C">
        <w:t xml:space="preserve">), </w:t>
      </w:r>
      <w:r w:rsidRPr="00E95900">
        <w:rPr>
          <w:b/>
        </w:rPr>
        <w:t>R</w:t>
      </w:r>
      <w:r w:rsidRPr="00AD541C">
        <w:t xml:space="preserve"> , </w:t>
      </w:r>
      <w:r w:rsidR="009D7A24" w:rsidRPr="00AD541C">
        <w:t>is the Ideal Gas C</w:t>
      </w:r>
      <w:r w:rsidRPr="00AD541C">
        <w:t>onstant</w:t>
      </w:r>
      <w:r w:rsidR="009D7A24" w:rsidRPr="00AD541C">
        <w:t xml:space="preserve"> taken</w:t>
      </w:r>
      <w:r w:rsidRPr="00AD541C">
        <w:t xml:space="preserve"> to be 0.08206 </w:t>
      </w:r>
      <w:proofErr w:type="spellStart"/>
      <w:r w:rsidRPr="00AD541C">
        <w:t>atm</w:t>
      </w:r>
      <w:proofErr w:type="spellEnd"/>
      <w:r w:rsidRPr="00AD541C">
        <w:t xml:space="preserve">-L/K </w:t>
      </w:r>
      <w:proofErr w:type="spellStart"/>
      <w:r w:rsidRPr="00AD541C">
        <w:t>mol</w:t>
      </w:r>
      <w:proofErr w:type="spellEnd"/>
      <w:r w:rsidR="009D7A24" w:rsidRPr="00AD541C">
        <w:t xml:space="preserve">, and </w:t>
      </w:r>
    </w:p>
    <w:p w:rsidR="00885022" w:rsidRDefault="009D7A24" w:rsidP="00AD541C">
      <w:pPr>
        <w:spacing w:line="360" w:lineRule="auto"/>
      </w:pPr>
      <w:proofErr w:type="gramStart"/>
      <w:r w:rsidRPr="00333BF2">
        <w:rPr>
          <w:rFonts w:ascii="Arial Black" w:hAnsi="Arial Black"/>
          <w:b/>
        </w:rPr>
        <w:t>a</w:t>
      </w:r>
      <w:r w:rsidRPr="00AD541C">
        <w:t>(</w:t>
      </w:r>
      <w:proofErr w:type="spellStart"/>
      <w:proofErr w:type="gramEnd"/>
      <w:r w:rsidRPr="00AD541C">
        <w:t>atm</w:t>
      </w:r>
      <w:proofErr w:type="spellEnd"/>
      <w:r w:rsidRPr="00AD541C">
        <w:t xml:space="preserve"> L</w:t>
      </w:r>
      <w:r w:rsidRPr="00AD541C">
        <w:rPr>
          <w:vertAlign w:val="superscript"/>
        </w:rPr>
        <w:t>2</w:t>
      </w:r>
      <w:r w:rsidRPr="00AD541C">
        <w:t>/</w:t>
      </w:r>
      <w:proofErr w:type="spellStart"/>
      <w:r w:rsidRPr="00AD541C">
        <w:t>mol</w:t>
      </w:r>
      <w:proofErr w:type="spellEnd"/>
      <w:r w:rsidRPr="00AD541C">
        <w:t>) is the Van der Waals molecular interaction parameter.</w:t>
      </w:r>
    </w:p>
    <w:p w:rsidR="009922D5" w:rsidRPr="00AD541C" w:rsidRDefault="009922D5" w:rsidP="0085191E"/>
    <w:p w:rsidR="00173F8A" w:rsidRPr="000C2E01" w:rsidRDefault="00173F8A" w:rsidP="00885022">
      <w:pPr>
        <w:rPr>
          <w:b/>
        </w:rPr>
      </w:pPr>
      <w:r w:rsidRPr="004F1855">
        <w:rPr>
          <w:b/>
          <w:u w:val="single"/>
        </w:rPr>
        <w:t>1</w:t>
      </w:r>
      <w:r w:rsidRPr="00AD541C">
        <w:tab/>
      </w:r>
      <w:r w:rsidRPr="00AD541C">
        <w:tab/>
      </w:r>
      <w:r w:rsidR="000C2E01">
        <w:tab/>
      </w:r>
      <w:r w:rsidR="000C2E01">
        <w:tab/>
      </w:r>
      <w:proofErr w:type="gramStart"/>
      <w:r w:rsidRPr="00AD541C">
        <w:rPr>
          <w:b/>
        </w:rPr>
        <w:t>P  =</w:t>
      </w:r>
      <w:proofErr w:type="gramEnd"/>
      <w:r w:rsidRPr="00AD541C">
        <w:rPr>
          <w:b/>
        </w:rPr>
        <w:t xml:space="preserve"> </w:t>
      </w:r>
      <w:proofErr w:type="spellStart"/>
      <w:r w:rsidRPr="00AD541C">
        <w:rPr>
          <w:b/>
          <w:u w:val="single"/>
        </w:rPr>
        <w:t>nRT</w:t>
      </w:r>
      <w:proofErr w:type="spellEnd"/>
      <w:r w:rsidR="009D7A24" w:rsidRPr="00AD541C">
        <w:rPr>
          <w:b/>
        </w:rPr>
        <w:t xml:space="preserve">   - </w:t>
      </w:r>
      <w:r w:rsidR="009D7A24" w:rsidRPr="000C2E01">
        <w:rPr>
          <w:rFonts w:ascii="Arial Black" w:hAnsi="Arial Black"/>
          <w:b/>
          <w:u w:val="single"/>
        </w:rPr>
        <w:t>a</w:t>
      </w:r>
      <w:r w:rsidR="009D7A24" w:rsidRPr="00AD541C">
        <w:rPr>
          <w:b/>
          <w:u w:val="single"/>
        </w:rPr>
        <w:t>n</w:t>
      </w:r>
      <w:r w:rsidR="009D7A24" w:rsidRPr="00AD541C">
        <w:rPr>
          <w:b/>
          <w:u w:val="single"/>
          <w:vertAlign w:val="superscript"/>
        </w:rPr>
        <w:t>2</w:t>
      </w:r>
      <w:r w:rsidR="000C2E01">
        <w:rPr>
          <w:b/>
        </w:rPr>
        <w:t xml:space="preserve">   = </w:t>
      </w:r>
      <w:proofErr w:type="spellStart"/>
      <w:r w:rsidR="000C2E01">
        <w:rPr>
          <w:b/>
        </w:rPr>
        <w:t>P</w:t>
      </w:r>
      <w:r w:rsidR="000C2E01">
        <w:rPr>
          <w:b/>
          <w:vertAlign w:val="subscript"/>
        </w:rPr>
        <w:t>ideal</w:t>
      </w:r>
      <w:proofErr w:type="spellEnd"/>
      <w:r w:rsidR="000C2E01">
        <w:rPr>
          <w:b/>
        </w:rPr>
        <w:t xml:space="preserve"> – </w:t>
      </w:r>
      <w:r w:rsidR="000C2E01" w:rsidRPr="000C2E01">
        <w:rPr>
          <w:rFonts w:ascii="Arial Black" w:hAnsi="Arial Black"/>
          <w:b/>
          <w:u w:val="single"/>
        </w:rPr>
        <w:t>a</w:t>
      </w:r>
      <w:r w:rsidR="000C2E01" w:rsidRPr="000C2E01">
        <w:rPr>
          <w:b/>
          <w:u w:val="single"/>
        </w:rPr>
        <w:t>n</w:t>
      </w:r>
      <w:r w:rsidR="000C2E01" w:rsidRPr="000C2E01">
        <w:rPr>
          <w:b/>
          <w:u w:val="single"/>
          <w:vertAlign w:val="superscript"/>
        </w:rPr>
        <w:t>2</w:t>
      </w:r>
    </w:p>
    <w:p w:rsidR="00885022" w:rsidRPr="00164DCE" w:rsidRDefault="00173F8A">
      <w:pPr>
        <w:rPr>
          <w:b/>
          <w:vertAlign w:val="superscript"/>
        </w:rPr>
      </w:pPr>
      <w:r w:rsidRPr="00AD541C">
        <w:rPr>
          <w:b/>
        </w:rPr>
        <w:tab/>
      </w:r>
      <w:r w:rsidRPr="00AD541C">
        <w:rPr>
          <w:b/>
        </w:rPr>
        <w:tab/>
      </w:r>
      <w:r w:rsidR="000C2E01">
        <w:rPr>
          <w:b/>
        </w:rPr>
        <w:tab/>
      </w:r>
      <w:r w:rsidR="000C2E01">
        <w:rPr>
          <w:b/>
        </w:rPr>
        <w:tab/>
      </w:r>
      <w:r w:rsidR="009D7A24" w:rsidRPr="00AD541C">
        <w:rPr>
          <w:b/>
        </w:rPr>
        <w:t xml:space="preserve">      </w:t>
      </w:r>
      <w:r w:rsidR="00111FA5">
        <w:rPr>
          <w:b/>
        </w:rPr>
        <w:t xml:space="preserve">    </w:t>
      </w:r>
      <w:r w:rsidRPr="00AD541C">
        <w:rPr>
          <w:b/>
        </w:rPr>
        <w:t>V</w:t>
      </w:r>
      <w:r w:rsidR="009D7A24" w:rsidRPr="00AD541C">
        <w:rPr>
          <w:b/>
        </w:rPr>
        <w:tab/>
        <w:t xml:space="preserve">    </w:t>
      </w:r>
      <w:r w:rsidR="00111FA5">
        <w:rPr>
          <w:b/>
        </w:rPr>
        <w:t xml:space="preserve">   </w:t>
      </w:r>
      <w:r w:rsidR="009D7A24" w:rsidRPr="00AD541C">
        <w:rPr>
          <w:b/>
        </w:rPr>
        <w:t>V</w:t>
      </w:r>
      <w:r w:rsidR="00164DCE">
        <w:rPr>
          <w:b/>
          <w:vertAlign w:val="superscript"/>
        </w:rPr>
        <w:t>2</w:t>
      </w:r>
      <w:r w:rsidR="000C2E01">
        <w:rPr>
          <w:b/>
        </w:rPr>
        <w:tab/>
      </w:r>
      <w:r w:rsidR="000C2E01">
        <w:rPr>
          <w:b/>
        </w:rPr>
        <w:tab/>
      </w:r>
      <w:r w:rsidR="00111FA5">
        <w:rPr>
          <w:b/>
        </w:rPr>
        <w:t xml:space="preserve">   </w:t>
      </w:r>
      <w:r w:rsidR="000C2E01">
        <w:rPr>
          <w:b/>
        </w:rPr>
        <w:t>V</w:t>
      </w:r>
      <w:r w:rsidR="00164DCE">
        <w:rPr>
          <w:b/>
          <w:vertAlign w:val="superscript"/>
        </w:rPr>
        <w:t>2</w:t>
      </w:r>
    </w:p>
    <w:p w:rsidR="00AD541C" w:rsidRPr="00AD541C" w:rsidRDefault="00AB349B">
      <w:r>
        <w:tab/>
      </w:r>
      <w:r>
        <w:tab/>
      </w:r>
      <w:r w:rsidR="00B4556B">
        <w:tab/>
      </w:r>
      <w:r w:rsidR="00B4556B">
        <w:tab/>
      </w:r>
      <w:r w:rsidR="00B4556B">
        <w:tab/>
      </w:r>
      <w:r w:rsidR="00B4556B">
        <w:tab/>
      </w:r>
      <w:r w:rsidR="00B4556B">
        <w:tab/>
      </w:r>
      <w:r w:rsidR="00B4556B">
        <w:tab/>
      </w:r>
      <w:r w:rsidR="00B4556B">
        <w:tab/>
      </w:r>
      <w:r w:rsidR="00B4556B">
        <w:tab/>
        <w:t>(99 words &amp; no</w:t>
      </w:r>
      <w:proofErr w:type="gramStart"/>
      <w:r w:rsidR="00B4556B">
        <w:t>. )</w:t>
      </w:r>
      <w:proofErr w:type="gramEnd"/>
    </w:p>
    <w:p w:rsidR="00AD541C" w:rsidRPr="00BE768F" w:rsidRDefault="00AD541C">
      <w:pPr>
        <w:rPr>
          <w:b/>
          <w:sz w:val="24"/>
          <w:szCs w:val="24"/>
        </w:rPr>
      </w:pPr>
      <w:r w:rsidRPr="00BE768F">
        <w:rPr>
          <w:b/>
          <w:sz w:val="24"/>
          <w:szCs w:val="24"/>
        </w:rPr>
        <w:t>Experimental</w:t>
      </w:r>
    </w:p>
    <w:p w:rsidR="00AD541C" w:rsidRDefault="00AD541C">
      <w:r w:rsidRPr="00AD541C">
        <w:t>The technique and apparatus previousl</w:t>
      </w:r>
      <w:r w:rsidR="002844B6">
        <w:t>y described</w:t>
      </w:r>
      <w:r w:rsidR="00354A6C">
        <w:rPr>
          <w:vertAlign w:val="superscript"/>
        </w:rPr>
        <w:t>1</w:t>
      </w:r>
      <w:r w:rsidR="002844B6">
        <w:t xml:space="preserve"> have </w:t>
      </w:r>
      <w:r w:rsidR="003B67A2">
        <w:t>been employed</w:t>
      </w:r>
      <w:r w:rsidRPr="00AD541C">
        <w:t xml:space="preserve">. </w:t>
      </w:r>
      <w:r w:rsidR="00907C54">
        <w:t xml:space="preserve">Gas sources are: </w:t>
      </w:r>
      <w:proofErr w:type="spellStart"/>
      <w:r w:rsidRPr="00AD541C">
        <w:t>Xe</w:t>
      </w:r>
      <w:proofErr w:type="spellEnd"/>
      <w:r w:rsidRPr="00AD541C">
        <w:t xml:space="preserve"> (99.999%, Linde Gas</w:t>
      </w:r>
      <w:r>
        <w:t xml:space="preserve"> Reagent grade lot #561A-3)</w:t>
      </w:r>
      <w:r w:rsidR="00907C54">
        <w:t xml:space="preserve"> and</w:t>
      </w:r>
      <w:r>
        <w:t xml:space="preserve"> </w:t>
      </w:r>
      <w:r w:rsidRPr="00AD541C">
        <w:t>He (99.99%, Air Gas Technologies, Technical grade, lot AG3412)</w:t>
      </w:r>
      <w:r w:rsidR="005346F0">
        <w:t>.</w:t>
      </w:r>
      <w:r w:rsidRPr="00AD541C">
        <w:t xml:space="preserve"> </w:t>
      </w:r>
      <w:r>
        <w:t>Gases were</w:t>
      </w:r>
      <w:r w:rsidR="00907C54">
        <w:t xml:space="preserve"> </w:t>
      </w:r>
      <w:r>
        <w:t>used as received.</w:t>
      </w:r>
      <w:r w:rsidR="003B67A2">
        <w:t xml:space="preserve"> </w:t>
      </w:r>
      <w:r>
        <w:t>Three series of pressure measurements</w:t>
      </w:r>
      <w:r w:rsidR="005346F0">
        <w:t xml:space="preserve"> </w:t>
      </w:r>
      <w:r>
        <w:t>were performed:</w:t>
      </w:r>
    </w:p>
    <w:p w:rsidR="003B67A2" w:rsidRDefault="003B67A2"/>
    <w:p w:rsidR="00AD541C" w:rsidRDefault="00907C54" w:rsidP="00AD541C">
      <w:pPr>
        <w:pStyle w:val="ListParagraph"/>
        <w:numPr>
          <w:ilvl w:val="0"/>
          <w:numId w:val="2"/>
        </w:numPr>
      </w:pPr>
      <w:r w:rsidRPr="000C2E01">
        <w:rPr>
          <w:b/>
        </w:rPr>
        <w:t>n</w:t>
      </w:r>
      <w:r>
        <w:t xml:space="preserve"> varied from 0.100 to 8.000 moles at constant  </w:t>
      </w:r>
      <w:r w:rsidRPr="000C2E01">
        <w:rPr>
          <w:b/>
        </w:rPr>
        <w:t>V</w:t>
      </w:r>
      <w:r>
        <w:t xml:space="preserve">=20.000 L  and </w:t>
      </w:r>
      <w:r w:rsidRPr="000C2E01">
        <w:rPr>
          <w:b/>
        </w:rPr>
        <w:t>T</w:t>
      </w:r>
      <w:r>
        <w:t>=300.0 K</w:t>
      </w:r>
    </w:p>
    <w:p w:rsidR="00907C54" w:rsidRPr="00AD541C" w:rsidRDefault="00907C54" w:rsidP="00AD541C">
      <w:pPr>
        <w:pStyle w:val="ListParagraph"/>
        <w:numPr>
          <w:ilvl w:val="0"/>
          <w:numId w:val="2"/>
        </w:numPr>
      </w:pPr>
      <w:r w:rsidRPr="000C2E01">
        <w:rPr>
          <w:b/>
        </w:rPr>
        <w:t>T</w:t>
      </w:r>
      <w:r>
        <w:t xml:space="preserve"> varied from 100.0 to 800.0 K at constant </w:t>
      </w:r>
      <w:r w:rsidRPr="000C2E01">
        <w:rPr>
          <w:b/>
        </w:rPr>
        <w:t>V</w:t>
      </w:r>
      <w:r>
        <w:t>=</w:t>
      </w:r>
      <w:r w:rsidR="006B4FFB">
        <w:t>2</w:t>
      </w:r>
      <w:r>
        <w:t xml:space="preserve">0.000 L and </w:t>
      </w:r>
      <w:r w:rsidRPr="000C2E01">
        <w:rPr>
          <w:b/>
        </w:rPr>
        <w:t>n</w:t>
      </w:r>
      <w:r>
        <w:t>=1.000 mol</w:t>
      </w:r>
    </w:p>
    <w:p w:rsidR="009D7A24" w:rsidRDefault="00907C54" w:rsidP="00907C54">
      <w:pPr>
        <w:pStyle w:val="ListParagraph"/>
        <w:numPr>
          <w:ilvl w:val="0"/>
          <w:numId w:val="2"/>
        </w:numPr>
      </w:pPr>
      <w:r w:rsidRPr="000C2E01">
        <w:rPr>
          <w:b/>
        </w:rPr>
        <w:t>V</w:t>
      </w:r>
      <w:r w:rsidR="00DA1BD7">
        <w:t xml:space="preserve"> varied from 1.000 to 2</w:t>
      </w:r>
      <w:r>
        <w:t xml:space="preserve">00.0 L at constant </w:t>
      </w:r>
      <w:r w:rsidRPr="000C2E01">
        <w:rPr>
          <w:b/>
        </w:rPr>
        <w:t>T</w:t>
      </w:r>
      <w:r>
        <w:t xml:space="preserve">=300.0 K and </w:t>
      </w:r>
      <w:r w:rsidRPr="000C2E01">
        <w:rPr>
          <w:b/>
        </w:rPr>
        <w:t>n</w:t>
      </w:r>
      <w:r>
        <w:t>=1.000 mol</w:t>
      </w:r>
    </w:p>
    <w:p w:rsidR="00907C54" w:rsidRDefault="00907C54" w:rsidP="00907C54"/>
    <w:p w:rsidR="00907C54" w:rsidRDefault="00907C54" w:rsidP="009922D5">
      <w:r>
        <w:t>The significant figure cou</w:t>
      </w:r>
      <w:r w:rsidR="00E95900">
        <w:t>nts above reflect</w:t>
      </w:r>
      <w:r>
        <w:t xml:space="preserve"> instrument precision.</w:t>
      </w:r>
      <w:r w:rsidR="00B4556B">
        <w:tab/>
      </w:r>
      <w:r w:rsidR="00B4556B">
        <w:tab/>
      </w:r>
      <w:r w:rsidR="00B4556B">
        <w:tab/>
        <w:t>(100 words &amp; no.)</w:t>
      </w:r>
    </w:p>
    <w:p w:rsidR="003B67A2" w:rsidRPr="00AD541C" w:rsidRDefault="003B67A2" w:rsidP="009922D5"/>
    <w:p w:rsidR="00173F8A" w:rsidRPr="00BE768F" w:rsidRDefault="00AD541C">
      <w:pPr>
        <w:rPr>
          <w:b/>
          <w:sz w:val="24"/>
          <w:szCs w:val="24"/>
        </w:rPr>
      </w:pPr>
      <w:r w:rsidRPr="00BE768F">
        <w:rPr>
          <w:b/>
          <w:sz w:val="24"/>
          <w:szCs w:val="24"/>
        </w:rPr>
        <w:t>Results</w:t>
      </w:r>
    </w:p>
    <w:p w:rsidR="00AD541C" w:rsidRDefault="00AD541C">
      <w:pPr>
        <w:rPr>
          <w:b/>
        </w:rPr>
      </w:pPr>
    </w:p>
    <w:p w:rsidR="00AD541C" w:rsidRDefault="00C54D2D" w:rsidP="007E3A06">
      <w:pPr>
        <w:spacing w:line="360" w:lineRule="auto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49.1pt;margin-top:15.7pt;width:228.7pt;height:3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" stroked="f">
            <v:textbox>
              <w:txbxContent>
                <w:p w:rsidR="007E3A06" w:rsidRPr="007E3A06" w:rsidRDefault="007E3A06" w:rsidP="007E3A06">
                  <w:pPr>
                    <w:jc w:val="center"/>
                    <w:rPr>
                      <w:b/>
                    </w:rPr>
                  </w:pPr>
                  <w:r w:rsidRPr="007E3A06">
                    <w:rPr>
                      <w:b/>
                    </w:rPr>
                    <w:t>Table 2: Obse</w:t>
                  </w:r>
                  <w:r w:rsidR="006B4FFB">
                    <w:rPr>
                      <w:b/>
                    </w:rPr>
                    <w:t xml:space="preserve">rved </w:t>
                  </w:r>
                  <w:proofErr w:type="gramStart"/>
                  <w:r w:rsidR="006B4FFB">
                    <w:rPr>
                      <w:b/>
                    </w:rPr>
                    <w:t>P(</w:t>
                  </w:r>
                  <w:proofErr w:type="gramEnd"/>
                  <w:r w:rsidR="006B4FFB">
                    <w:rPr>
                      <w:b/>
                    </w:rPr>
                    <w:t>He) and P(</w:t>
                  </w:r>
                  <w:proofErr w:type="spellStart"/>
                  <w:r w:rsidR="006B4FFB">
                    <w:rPr>
                      <w:b/>
                    </w:rPr>
                    <w:t>Xe</w:t>
                  </w:r>
                  <w:proofErr w:type="spellEnd"/>
                  <w:r w:rsidR="006B4FFB">
                    <w:rPr>
                      <w:b/>
                    </w:rPr>
                    <w:t>) versus T(K)</w:t>
                  </w:r>
                </w:p>
                <w:p w:rsidR="007E3A06" w:rsidRPr="007E3A06" w:rsidRDefault="006B4FFB" w:rsidP="007E3A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V=20.000 L</w:t>
                  </w:r>
                  <w:r w:rsidR="007E3A06" w:rsidRPr="007E3A06">
                    <w:rPr>
                      <w:b/>
                    </w:rPr>
                    <w:t xml:space="preserve"> and n=1.000 mol</w:t>
                  </w:r>
                </w:p>
              </w:txbxContent>
            </v:textbox>
          </v:shape>
        </w:pict>
      </w:r>
      <w:r w:rsidR="007E3A06">
        <w:t xml:space="preserve">Tables 1-3 below summarize the results of the three series of pressure measurements </w:t>
      </w:r>
      <w:r w:rsidR="005346F0">
        <w:t xml:space="preserve">just </w:t>
      </w:r>
      <w:r w:rsidR="007E3A06">
        <w:t>described.</w:t>
      </w:r>
    </w:p>
    <w:p w:rsidR="007E3A06" w:rsidRPr="007E3A06" w:rsidRDefault="007E3A06" w:rsidP="007E3A06">
      <w:pPr>
        <w:rPr>
          <w:b/>
        </w:rPr>
      </w:pPr>
      <w:r w:rsidRPr="007E3A06">
        <w:rPr>
          <w:b/>
        </w:rPr>
        <w:t xml:space="preserve">Table 1: Observed </w:t>
      </w:r>
      <w:proofErr w:type="gramStart"/>
      <w:r w:rsidRPr="007E3A06">
        <w:rPr>
          <w:b/>
        </w:rPr>
        <w:t>P(</w:t>
      </w:r>
      <w:proofErr w:type="gramEnd"/>
      <w:r w:rsidRPr="007E3A06">
        <w:rPr>
          <w:b/>
        </w:rPr>
        <w:t>He) an</w:t>
      </w:r>
      <w:r>
        <w:rPr>
          <w:b/>
        </w:rPr>
        <w:t>d</w:t>
      </w:r>
      <w:r w:rsidRPr="007E3A06">
        <w:rPr>
          <w:b/>
        </w:rPr>
        <w:t xml:space="preserve"> P(</w:t>
      </w:r>
      <w:proofErr w:type="spellStart"/>
      <w:r w:rsidRPr="007E3A06">
        <w:rPr>
          <w:b/>
        </w:rPr>
        <w:t>Xe</w:t>
      </w:r>
      <w:proofErr w:type="spellEnd"/>
      <w:r w:rsidRPr="007E3A06">
        <w:rPr>
          <w:b/>
        </w:rPr>
        <w:t>)</w:t>
      </w:r>
      <w:r>
        <w:rPr>
          <w:b/>
        </w:rPr>
        <w:t xml:space="preserve"> versus n(moles)</w:t>
      </w:r>
    </w:p>
    <w:p w:rsidR="007E3A06" w:rsidRDefault="007E3A06" w:rsidP="007E3A06">
      <w:pPr>
        <w:ind w:firstLine="720"/>
        <w:rPr>
          <w:b/>
        </w:rPr>
      </w:pPr>
      <w:r>
        <w:rPr>
          <w:b/>
        </w:rPr>
        <w:t xml:space="preserve">     </w:t>
      </w:r>
      <w:r w:rsidR="006B4FFB">
        <w:rPr>
          <w:b/>
        </w:rPr>
        <w:t xml:space="preserve"> V=20.000 L and T=300.0 K</w:t>
      </w:r>
    </w:p>
    <w:p w:rsidR="007E3A06" w:rsidRPr="007E3A06" w:rsidRDefault="00C54D2D" w:rsidP="007E3A06">
      <w:pPr>
        <w:ind w:firstLine="720"/>
        <w:rPr>
          <w:b/>
        </w:rPr>
      </w:pPr>
      <w:r>
        <w:rPr>
          <w:b/>
          <w:noProof/>
          <w:lang w:eastAsia="zh-CN"/>
        </w:rPr>
        <w:pict>
          <v:shape id="Text Box 2" o:spid="_x0000_s1027" type="#_x0000_t202" style="position:absolute;left:0;text-align:left;margin-left:253.35pt;margin-top:10.15pt;width:252.7pt;height:13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xAhA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" stroked="f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7"/>
                    <w:gridCol w:w="1772"/>
                    <w:gridCol w:w="1772"/>
                  </w:tblGrid>
                  <w:tr w:rsidR="006B4FFB" w:rsidTr="000A4D14">
                    <w:tc>
                      <w:tcPr>
                        <w:tcW w:w="1458" w:type="dxa"/>
                      </w:tcPr>
                      <w:p w:rsidR="006B4FFB" w:rsidRPr="006B4FFB" w:rsidRDefault="006B4FFB" w:rsidP="006B4FFB">
                        <w:pPr>
                          <w:jc w:val="center"/>
                          <w:rPr>
                            <w:b/>
                          </w:rPr>
                        </w:pPr>
                        <w:r w:rsidRPr="006B4FFB">
                          <w:rPr>
                            <w:b/>
                          </w:rPr>
                          <w:t>T( K)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6B4FFB" w:rsidRPr="006B4FFB" w:rsidRDefault="006B4FFB" w:rsidP="006B4FFB">
                        <w:pPr>
                          <w:jc w:val="center"/>
                          <w:rPr>
                            <w:b/>
                          </w:rPr>
                        </w:pPr>
                        <w:r w:rsidRPr="006B4FFB">
                          <w:rPr>
                            <w:b/>
                          </w:rPr>
                          <w:t xml:space="preserve">P(He) </w:t>
                        </w:r>
                        <w:proofErr w:type="spellStart"/>
                        <w:r w:rsidRPr="006B4FFB">
                          <w:rPr>
                            <w:b/>
                          </w:rPr>
                          <w:t>atm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</w:tcPr>
                      <w:p w:rsidR="006B4FFB" w:rsidRPr="006B4FFB" w:rsidRDefault="006B4FFB" w:rsidP="006B4FFB">
                        <w:pPr>
                          <w:jc w:val="center"/>
                          <w:rPr>
                            <w:b/>
                          </w:rPr>
                        </w:pPr>
                        <w:r w:rsidRPr="006B4FFB">
                          <w:rPr>
                            <w:b/>
                          </w:rPr>
                          <w:t>P(</w:t>
                        </w:r>
                        <w:proofErr w:type="spellStart"/>
                        <w:r w:rsidRPr="006B4FFB">
                          <w:rPr>
                            <w:b/>
                          </w:rPr>
                          <w:t>Xe</w:t>
                        </w:r>
                        <w:proofErr w:type="spellEnd"/>
                        <w:r w:rsidRPr="006B4FFB">
                          <w:rPr>
                            <w:b/>
                          </w:rPr>
                          <w:t xml:space="preserve">) </w:t>
                        </w:r>
                        <w:proofErr w:type="spellStart"/>
                        <w:r w:rsidRPr="006B4FFB">
                          <w:rPr>
                            <w:b/>
                          </w:rPr>
                          <w:t>atm</w:t>
                        </w:r>
                        <w:proofErr w:type="spellEnd"/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0.4102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0.3997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0.8205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0.8099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300.0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1.2308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1.2202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400.0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1.6411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1.6305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500.0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2.0514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2.0408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600.0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2.4617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2.4511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700.0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2.8720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2.8614</w:t>
                        </w:r>
                      </w:p>
                    </w:tc>
                  </w:tr>
                  <w:tr w:rsidR="006B4FFB" w:rsidTr="000A4D14">
                    <w:tc>
                      <w:tcPr>
                        <w:tcW w:w="1458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800.0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3.2823</w:t>
                        </w:r>
                      </w:p>
                    </w:tc>
                    <w:tc>
                      <w:tcPr>
                        <w:tcW w:w="1800" w:type="dxa"/>
                        <w:vAlign w:val="bottom"/>
                      </w:tcPr>
                      <w:p w:rsidR="006B4FFB" w:rsidRDefault="006B4FFB" w:rsidP="006B4F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3.2717</w:t>
                        </w:r>
                      </w:p>
                    </w:tc>
                  </w:tr>
                </w:tbl>
                <w:p w:rsidR="007E3A06" w:rsidRPr="006B4FFB" w:rsidRDefault="007E3A06" w:rsidP="006B4FFB"/>
              </w:txbxContent>
            </v:textbox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620"/>
        <w:gridCol w:w="1890"/>
      </w:tblGrid>
      <w:tr w:rsidR="007E3A06" w:rsidTr="000C2E01">
        <w:tc>
          <w:tcPr>
            <w:tcW w:w="1368" w:type="dxa"/>
          </w:tcPr>
          <w:p w:rsidR="007E3A06" w:rsidRPr="000C2E01" w:rsidRDefault="007E3A06" w:rsidP="007E3A06">
            <w:pPr>
              <w:jc w:val="center"/>
              <w:rPr>
                <w:b/>
              </w:rPr>
            </w:pPr>
            <w:r w:rsidRPr="000C2E01">
              <w:rPr>
                <w:b/>
              </w:rPr>
              <w:t>n (moles)</w:t>
            </w:r>
          </w:p>
        </w:tc>
        <w:tc>
          <w:tcPr>
            <w:tcW w:w="1620" w:type="dxa"/>
          </w:tcPr>
          <w:p w:rsidR="007E3A06" w:rsidRPr="000C2E01" w:rsidRDefault="007E3A06" w:rsidP="007E3A06">
            <w:pPr>
              <w:jc w:val="center"/>
              <w:rPr>
                <w:b/>
              </w:rPr>
            </w:pPr>
            <w:r w:rsidRPr="000C2E01">
              <w:rPr>
                <w:b/>
              </w:rPr>
              <w:t xml:space="preserve">P(He) </w:t>
            </w:r>
            <w:proofErr w:type="spellStart"/>
            <w:r w:rsidRPr="000C2E01">
              <w:rPr>
                <w:b/>
              </w:rPr>
              <w:t>atm</w:t>
            </w:r>
            <w:proofErr w:type="spellEnd"/>
          </w:p>
        </w:tc>
        <w:tc>
          <w:tcPr>
            <w:tcW w:w="1890" w:type="dxa"/>
          </w:tcPr>
          <w:p w:rsidR="007E3A06" w:rsidRPr="000C2E01" w:rsidRDefault="007E3A06" w:rsidP="007E3A06">
            <w:pPr>
              <w:jc w:val="center"/>
              <w:rPr>
                <w:b/>
              </w:rPr>
            </w:pPr>
            <w:r w:rsidRPr="000C2E01">
              <w:rPr>
                <w:b/>
              </w:rPr>
              <w:t>P(</w:t>
            </w:r>
            <w:proofErr w:type="spellStart"/>
            <w:r w:rsidRPr="000C2E01">
              <w:rPr>
                <w:b/>
              </w:rPr>
              <w:t>Xe</w:t>
            </w:r>
            <w:proofErr w:type="spellEnd"/>
            <w:r w:rsidRPr="000C2E01">
              <w:rPr>
                <w:b/>
              </w:rPr>
              <w:t xml:space="preserve">) </w:t>
            </w:r>
            <w:proofErr w:type="spellStart"/>
            <w:r w:rsidRPr="000C2E01">
              <w:rPr>
                <w:b/>
              </w:rPr>
              <w:t>atm</w:t>
            </w:r>
            <w:proofErr w:type="spellEnd"/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0.1231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0.1230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0.2462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0.2458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0.6154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0.6128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1.2308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1.2202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2.4615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2.4193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6.1524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5.8889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9.8418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9.1672</w:t>
            </w:r>
          </w:p>
        </w:tc>
      </w:tr>
      <w:tr w:rsidR="007E3A06" w:rsidTr="000C2E01">
        <w:tc>
          <w:tcPr>
            <w:tcW w:w="1368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162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24.5840</w:t>
            </w:r>
          </w:p>
        </w:tc>
        <w:tc>
          <w:tcPr>
            <w:tcW w:w="1890" w:type="dxa"/>
            <w:vAlign w:val="bottom"/>
          </w:tcPr>
          <w:p w:rsidR="007E3A06" w:rsidRDefault="007E3A06" w:rsidP="007E3A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20.3680</w:t>
            </w:r>
          </w:p>
        </w:tc>
      </w:tr>
    </w:tbl>
    <w:p w:rsidR="003B67A2" w:rsidRDefault="003B67A2" w:rsidP="000C2E01">
      <w:pPr>
        <w:jc w:val="center"/>
        <w:rPr>
          <w:b/>
        </w:rPr>
      </w:pPr>
    </w:p>
    <w:p w:rsidR="000C2E01" w:rsidRPr="007E3A06" w:rsidRDefault="000C2E01" w:rsidP="000C2E01">
      <w:pPr>
        <w:jc w:val="center"/>
        <w:rPr>
          <w:b/>
        </w:rPr>
      </w:pPr>
      <w:r w:rsidRPr="007E3A06">
        <w:rPr>
          <w:b/>
        </w:rPr>
        <w:t xml:space="preserve">Table </w:t>
      </w:r>
      <w:r>
        <w:rPr>
          <w:b/>
        </w:rPr>
        <w:t>3</w:t>
      </w:r>
      <w:r w:rsidRPr="007E3A06">
        <w:rPr>
          <w:b/>
        </w:rPr>
        <w:t xml:space="preserve">: Observed </w:t>
      </w:r>
      <w:proofErr w:type="gramStart"/>
      <w:r w:rsidRPr="007E3A06">
        <w:rPr>
          <w:b/>
        </w:rPr>
        <w:t>P(</w:t>
      </w:r>
      <w:proofErr w:type="gramEnd"/>
      <w:r w:rsidRPr="007E3A06">
        <w:rPr>
          <w:b/>
        </w:rPr>
        <w:t>He) and P(</w:t>
      </w:r>
      <w:proofErr w:type="spellStart"/>
      <w:r w:rsidRPr="007E3A06">
        <w:rPr>
          <w:b/>
        </w:rPr>
        <w:t>Xe</w:t>
      </w:r>
      <w:proofErr w:type="spellEnd"/>
      <w:r w:rsidRPr="007E3A06">
        <w:rPr>
          <w:b/>
        </w:rPr>
        <w:t>) versus V(L)</w:t>
      </w:r>
    </w:p>
    <w:p w:rsidR="000C2E01" w:rsidRPr="007E3A06" w:rsidRDefault="000C2E01" w:rsidP="000C2E01">
      <w:pPr>
        <w:jc w:val="center"/>
        <w:rPr>
          <w:b/>
        </w:rPr>
      </w:pPr>
      <w:r w:rsidRPr="007E3A06">
        <w:rPr>
          <w:b/>
        </w:rPr>
        <w:t>T=300 K and n=1.000 mol</w:t>
      </w:r>
    </w:p>
    <w:tbl>
      <w:tblPr>
        <w:tblStyle w:val="TableGrid"/>
        <w:tblpPr w:leftFromText="180" w:rightFromText="180" w:vertAnchor="page" w:horzAnchor="margin" w:tblpXSpec="center" w:tblpY="2062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1800"/>
      </w:tblGrid>
      <w:tr w:rsidR="000C2E01" w:rsidTr="000C2E01">
        <w:tc>
          <w:tcPr>
            <w:tcW w:w="1458" w:type="dxa"/>
          </w:tcPr>
          <w:p w:rsidR="000C2E01" w:rsidRPr="000C2E01" w:rsidRDefault="000C2E01" w:rsidP="000C2E01">
            <w:pPr>
              <w:jc w:val="center"/>
              <w:rPr>
                <w:b/>
              </w:rPr>
            </w:pPr>
            <w:r w:rsidRPr="000C2E01">
              <w:rPr>
                <w:b/>
              </w:rPr>
              <w:t>V(L)</w:t>
            </w:r>
          </w:p>
        </w:tc>
        <w:tc>
          <w:tcPr>
            <w:tcW w:w="1800" w:type="dxa"/>
          </w:tcPr>
          <w:p w:rsidR="000C2E01" w:rsidRPr="000C2E01" w:rsidRDefault="000C2E01" w:rsidP="000C2E01">
            <w:pPr>
              <w:jc w:val="center"/>
              <w:rPr>
                <w:b/>
              </w:rPr>
            </w:pPr>
            <w:r w:rsidRPr="000C2E01">
              <w:rPr>
                <w:b/>
              </w:rPr>
              <w:t xml:space="preserve">P(He) </w:t>
            </w:r>
            <w:proofErr w:type="spellStart"/>
            <w:r w:rsidRPr="000C2E01">
              <w:rPr>
                <w:b/>
              </w:rPr>
              <w:t>atm</w:t>
            </w:r>
            <w:proofErr w:type="spellEnd"/>
          </w:p>
        </w:tc>
        <w:tc>
          <w:tcPr>
            <w:tcW w:w="1800" w:type="dxa"/>
          </w:tcPr>
          <w:p w:rsidR="000C2E01" w:rsidRPr="000C2E01" w:rsidRDefault="000C2E01" w:rsidP="000C2E01">
            <w:pPr>
              <w:jc w:val="center"/>
              <w:rPr>
                <w:b/>
              </w:rPr>
            </w:pPr>
            <w:r w:rsidRPr="000C2E01">
              <w:rPr>
                <w:b/>
              </w:rPr>
              <w:t>P(</w:t>
            </w:r>
            <w:proofErr w:type="spellStart"/>
            <w:r w:rsidRPr="000C2E01">
              <w:rPr>
                <w:b/>
              </w:rPr>
              <w:t>Xe</w:t>
            </w:r>
            <w:proofErr w:type="spellEnd"/>
            <w:r w:rsidRPr="000C2E01">
              <w:rPr>
                <w:b/>
              </w:rPr>
              <w:t xml:space="preserve">) </w:t>
            </w:r>
            <w:proofErr w:type="spellStart"/>
            <w:r w:rsidRPr="000C2E01">
              <w:rPr>
                <w:b/>
              </w:rPr>
              <w:t>atm</w:t>
            </w:r>
            <w:proofErr w:type="spellEnd"/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24.5840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20.3680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4.9222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4.7536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2.4614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2.4193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1.2308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1.2202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0.6154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0.6128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0.2461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0.2458</w:t>
            </w:r>
          </w:p>
        </w:tc>
      </w:tr>
      <w:tr w:rsidR="000C2E01" w:rsidTr="000C2E01">
        <w:tc>
          <w:tcPr>
            <w:tcW w:w="1458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200.000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0.1230</w:t>
            </w:r>
          </w:p>
        </w:tc>
        <w:tc>
          <w:tcPr>
            <w:tcW w:w="1800" w:type="dxa"/>
            <w:vAlign w:val="bottom"/>
          </w:tcPr>
          <w:p w:rsidR="000C2E01" w:rsidRDefault="000C2E01" w:rsidP="000C2E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0.1230</w:t>
            </w:r>
          </w:p>
        </w:tc>
      </w:tr>
    </w:tbl>
    <w:p w:rsidR="000C2E01" w:rsidRDefault="000C2E01" w:rsidP="000C2E01">
      <w:pPr>
        <w:spacing w:line="360" w:lineRule="auto"/>
      </w:pPr>
    </w:p>
    <w:p w:rsidR="005346F0" w:rsidRDefault="005346F0" w:rsidP="000C2E01">
      <w:pPr>
        <w:spacing w:line="360" w:lineRule="auto"/>
      </w:pPr>
    </w:p>
    <w:p w:rsidR="000C2E01" w:rsidRDefault="000C2E01" w:rsidP="000C2E01">
      <w:pPr>
        <w:spacing w:line="360" w:lineRule="auto"/>
      </w:pPr>
    </w:p>
    <w:p w:rsidR="000C2E01" w:rsidRDefault="000C2E01" w:rsidP="000C2E01">
      <w:pPr>
        <w:spacing w:line="360" w:lineRule="auto"/>
      </w:pPr>
    </w:p>
    <w:p w:rsidR="000C2E01" w:rsidRDefault="000C2E01" w:rsidP="000C2E01">
      <w:pPr>
        <w:spacing w:line="360" w:lineRule="auto"/>
      </w:pPr>
    </w:p>
    <w:p w:rsidR="000C2E01" w:rsidRDefault="000C2E01" w:rsidP="000C2E01">
      <w:pPr>
        <w:spacing w:line="360" w:lineRule="auto"/>
      </w:pPr>
    </w:p>
    <w:p w:rsidR="000C2E01" w:rsidRDefault="000C2E01" w:rsidP="000C2E01">
      <w:pPr>
        <w:spacing w:line="360" w:lineRule="auto"/>
      </w:pPr>
    </w:p>
    <w:p w:rsidR="009922D5" w:rsidRDefault="009922D5" w:rsidP="000C2E01">
      <w:pPr>
        <w:spacing w:line="360" w:lineRule="auto"/>
      </w:pPr>
    </w:p>
    <w:p w:rsidR="00111FA5" w:rsidRDefault="00111FA5" w:rsidP="000C2E01">
      <w:pPr>
        <w:spacing w:line="360" w:lineRule="auto"/>
      </w:pPr>
      <w:r>
        <w:t>The deviation</w:t>
      </w:r>
      <w:r w:rsidR="008F31EA">
        <w:t>,</w:t>
      </w:r>
      <w:r>
        <w:t xml:space="preserve"> </w:t>
      </w:r>
      <w:r w:rsidRPr="00111FA5">
        <w:rPr>
          <w:b/>
        </w:rPr>
        <w:sym w:font="Symbol" w:char="F044"/>
      </w:r>
      <w:r w:rsidRPr="00111FA5">
        <w:rPr>
          <w:b/>
        </w:rPr>
        <w:t>P</w:t>
      </w:r>
      <w:r w:rsidR="008F31EA">
        <w:rPr>
          <w:b/>
        </w:rPr>
        <w:t>,</w:t>
      </w:r>
      <w:r>
        <w:rPr>
          <w:b/>
        </w:rPr>
        <w:t xml:space="preserve"> </w:t>
      </w:r>
      <w:r>
        <w:t xml:space="preserve">of the observed pressures versus </w:t>
      </w:r>
      <w:r w:rsidRPr="00164DCE">
        <w:rPr>
          <w:b/>
        </w:rPr>
        <w:t>n</w:t>
      </w:r>
      <w:r>
        <w:t xml:space="preserve">, </w:t>
      </w:r>
      <w:r w:rsidRPr="00164DCE">
        <w:rPr>
          <w:b/>
        </w:rPr>
        <w:t>T</w:t>
      </w:r>
      <w:r>
        <w:t xml:space="preserve"> and </w:t>
      </w:r>
      <w:r w:rsidRPr="00164DCE">
        <w:rPr>
          <w:b/>
        </w:rPr>
        <w:t>P</w:t>
      </w:r>
      <w:r>
        <w:t xml:space="preserve"> compared to the Ideal Gas prediction from the several tables</w:t>
      </w:r>
      <w:r w:rsidR="008F31EA">
        <w:t xml:space="preserve"> is computed by </w:t>
      </w:r>
      <w:r w:rsidR="008F31EA" w:rsidRPr="008F31EA">
        <w:rPr>
          <w:b/>
          <w:u w:val="single"/>
        </w:rPr>
        <w:t>2</w:t>
      </w:r>
      <w:r w:rsidR="008F31EA">
        <w:rPr>
          <w:b/>
          <w:u w:val="single"/>
        </w:rPr>
        <w:t>:</w:t>
      </w:r>
    </w:p>
    <w:p w:rsidR="00111FA5" w:rsidRPr="00111FA5" w:rsidRDefault="00111FA5" w:rsidP="00111FA5">
      <w:pPr>
        <w:rPr>
          <w:vertAlign w:val="subscript"/>
        </w:rPr>
      </w:pPr>
      <w:r w:rsidRPr="00111FA5">
        <w:rPr>
          <w:b/>
          <w:u w:val="single"/>
        </w:rPr>
        <w:t>2</w:t>
      </w:r>
      <w:r>
        <w:tab/>
      </w:r>
      <w:r>
        <w:tab/>
      </w:r>
      <w:r>
        <w:tab/>
      </w:r>
      <w:r>
        <w:tab/>
      </w:r>
      <w:r w:rsidRPr="00111FA5">
        <w:rPr>
          <w:b/>
        </w:rPr>
        <w:sym w:font="Symbol" w:char="F044"/>
      </w:r>
      <w:r w:rsidRPr="00111FA5">
        <w:rPr>
          <w:b/>
        </w:rPr>
        <w:t xml:space="preserve">P = </w:t>
      </w:r>
      <w:proofErr w:type="spellStart"/>
      <w:r w:rsidRPr="00111FA5">
        <w:rPr>
          <w:b/>
        </w:rPr>
        <w:t>P</w:t>
      </w:r>
      <w:r w:rsidRPr="00111FA5">
        <w:rPr>
          <w:b/>
          <w:vertAlign w:val="subscript"/>
        </w:rPr>
        <w:t>ideal</w:t>
      </w:r>
      <w:proofErr w:type="spellEnd"/>
      <w:r w:rsidRPr="00111FA5">
        <w:rPr>
          <w:b/>
        </w:rPr>
        <w:t xml:space="preserve"> – </w:t>
      </w:r>
      <w:proofErr w:type="gramStart"/>
      <w:r w:rsidRPr="00111FA5">
        <w:rPr>
          <w:b/>
        </w:rPr>
        <w:t>P  =</w:t>
      </w:r>
      <w:proofErr w:type="gramEnd"/>
      <w:r w:rsidRPr="00111FA5">
        <w:rPr>
          <w:b/>
        </w:rPr>
        <w:t xml:space="preserve"> </w:t>
      </w:r>
      <w:proofErr w:type="spellStart"/>
      <w:r w:rsidRPr="00111FA5">
        <w:rPr>
          <w:b/>
          <w:u w:val="single"/>
        </w:rPr>
        <w:t>nRT</w:t>
      </w:r>
      <w:proofErr w:type="spellEnd"/>
      <w:r w:rsidRPr="00111FA5">
        <w:rPr>
          <w:b/>
        </w:rPr>
        <w:t xml:space="preserve">  - P</w:t>
      </w:r>
    </w:p>
    <w:p w:rsidR="000C2E01" w:rsidRDefault="00111FA5" w:rsidP="000C2E01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1FA5">
        <w:rPr>
          <w:b/>
        </w:rPr>
        <w:t xml:space="preserve"> </w:t>
      </w:r>
      <w:r>
        <w:rPr>
          <w:b/>
        </w:rPr>
        <w:t xml:space="preserve"> </w:t>
      </w:r>
      <w:r w:rsidRPr="00111FA5">
        <w:rPr>
          <w:b/>
        </w:rPr>
        <w:t>V</w:t>
      </w:r>
      <w:r w:rsidRPr="00111FA5">
        <w:rPr>
          <w:b/>
        </w:rPr>
        <w:tab/>
      </w:r>
    </w:p>
    <w:p w:rsidR="00111FA5" w:rsidRDefault="00111FA5" w:rsidP="000C2E01">
      <w:pPr>
        <w:spacing w:line="360" w:lineRule="auto"/>
        <w:rPr>
          <w:b/>
          <w:u w:val="single"/>
        </w:rPr>
      </w:pPr>
      <w:r>
        <w:t xml:space="preserve">Assuming </w:t>
      </w:r>
      <w:r w:rsidRPr="00111FA5">
        <w:rPr>
          <w:b/>
          <w:u w:val="single"/>
        </w:rPr>
        <w:t>1</w:t>
      </w:r>
      <w:r>
        <w:t xml:space="preserve">, wherein the volume correction term, </w:t>
      </w:r>
      <w:r w:rsidRPr="00525EE5">
        <w:rPr>
          <w:rFonts w:ascii="Arial Black" w:hAnsi="Arial Black"/>
          <w:b/>
        </w:rPr>
        <w:t>b</w:t>
      </w:r>
      <w:r w:rsidR="003B67A2">
        <w:rPr>
          <w:b/>
        </w:rPr>
        <w:t>,</w:t>
      </w:r>
      <w:r>
        <w:t xml:space="preserve"> is assumed 0 in the general van der Waals equation, </w:t>
      </w:r>
      <w:r w:rsidRPr="00111FA5">
        <w:rPr>
          <w:b/>
          <w:u w:val="single"/>
        </w:rPr>
        <w:t>2</w:t>
      </w:r>
    </w:p>
    <w:p w:rsidR="00111FA5" w:rsidRDefault="00111FA5" w:rsidP="000C2E01">
      <w:pPr>
        <w:spacing w:line="360" w:lineRule="auto"/>
      </w:pPr>
      <w:proofErr w:type="gramStart"/>
      <w:r>
        <w:t>can</w:t>
      </w:r>
      <w:proofErr w:type="gramEnd"/>
      <w:r>
        <w:t xml:space="preserve"> be reduced to </w:t>
      </w:r>
      <w:r w:rsidRPr="00111FA5">
        <w:rPr>
          <w:b/>
          <w:u w:val="single"/>
        </w:rPr>
        <w:t>3</w:t>
      </w:r>
      <w:r>
        <w:t xml:space="preserve">, a form which can be tested for validity </w:t>
      </w:r>
      <w:r w:rsidR="008F31EA">
        <w:t>using</w:t>
      </w:r>
      <w:r w:rsidR="00164DCE">
        <w:t xml:space="preserve"> the data in</w:t>
      </w:r>
      <w:r w:rsidR="008F31EA">
        <w:t xml:space="preserve"> Tables 1-3. </w:t>
      </w:r>
    </w:p>
    <w:p w:rsidR="00111FA5" w:rsidRPr="000C2E01" w:rsidRDefault="00111FA5" w:rsidP="00111FA5">
      <w:pPr>
        <w:rPr>
          <w:b/>
        </w:rPr>
      </w:pPr>
      <w:r w:rsidRPr="008F31EA">
        <w:rPr>
          <w:b/>
          <w:u w:val="single"/>
        </w:rPr>
        <w:t>3</w:t>
      </w:r>
      <w:r>
        <w:tab/>
      </w:r>
      <w:r>
        <w:tab/>
      </w:r>
      <w:r>
        <w:tab/>
      </w:r>
      <w:r>
        <w:tab/>
      </w:r>
      <w:r w:rsidRPr="00111FA5">
        <w:rPr>
          <w:b/>
        </w:rPr>
        <w:sym w:font="Symbol" w:char="F044"/>
      </w:r>
      <w:r w:rsidRPr="00111FA5">
        <w:rPr>
          <w:b/>
        </w:rPr>
        <w:t>P</w:t>
      </w:r>
      <w:r>
        <w:rPr>
          <w:b/>
        </w:rPr>
        <w:t xml:space="preserve"> = </w:t>
      </w:r>
      <w:r w:rsidRPr="000C2E01">
        <w:rPr>
          <w:rFonts w:ascii="Arial Black" w:hAnsi="Arial Black"/>
          <w:b/>
          <w:u w:val="single"/>
        </w:rPr>
        <w:t>a</w:t>
      </w:r>
      <w:r w:rsidRPr="000C2E01">
        <w:rPr>
          <w:b/>
          <w:u w:val="single"/>
        </w:rPr>
        <w:t>n</w:t>
      </w:r>
      <w:r w:rsidRPr="000C2E01">
        <w:rPr>
          <w:b/>
          <w:u w:val="single"/>
          <w:vertAlign w:val="superscript"/>
        </w:rPr>
        <w:t>2</w:t>
      </w:r>
    </w:p>
    <w:p w:rsidR="00111FA5" w:rsidRPr="00164DCE" w:rsidRDefault="00111FA5" w:rsidP="000C2E01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  </w:t>
      </w:r>
      <w:r w:rsidRPr="00164DCE">
        <w:rPr>
          <w:b/>
        </w:rPr>
        <w:t>V</w:t>
      </w:r>
      <w:r w:rsidR="00164DCE" w:rsidRPr="00164DCE">
        <w:rPr>
          <w:b/>
          <w:vertAlign w:val="superscript"/>
        </w:rPr>
        <w:t>2</w:t>
      </w:r>
      <w:r w:rsidRPr="00164DCE">
        <w:rPr>
          <w:b/>
        </w:rPr>
        <w:tab/>
      </w:r>
    </w:p>
    <w:p w:rsidR="008F31EA" w:rsidRDefault="00D03918" w:rsidP="000C2E01">
      <w:pPr>
        <w:spacing w:line="360" w:lineRule="auto"/>
      </w:pPr>
      <w:r>
        <w:t xml:space="preserve">Consistent with </w:t>
      </w:r>
      <w:r w:rsidRPr="00D03918">
        <w:rPr>
          <w:b/>
          <w:u w:val="single"/>
        </w:rPr>
        <w:t>3</w:t>
      </w:r>
      <w:r w:rsidR="003D2648">
        <w:rPr>
          <w:b/>
          <w:u w:val="single"/>
        </w:rPr>
        <w:t>,</w:t>
      </w:r>
      <w:r>
        <w:t xml:space="preserve"> Figure 1, which plots </w:t>
      </w:r>
      <w:r w:rsidRPr="00D03918">
        <w:rPr>
          <w:b/>
        </w:rPr>
        <w:t>T</w:t>
      </w:r>
      <w:r>
        <w:t xml:space="preserve"> versus </w:t>
      </w:r>
      <w:r w:rsidRPr="00111FA5">
        <w:rPr>
          <w:b/>
        </w:rPr>
        <w:sym w:font="Symbol" w:char="F044"/>
      </w:r>
      <w:r w:rsidRPr="00111FA5">
        <w:rPr>
          <w:b/>
        </w:rPr>
        <w:t>P</w:t>
      </w:r>
      <w:r>
        <w:t xml:space="preserve"> </w:t>
      </w:r>
      <w:r w:rsidR="00164DCE">
        <w:t>at constant</w:t>
      </w:r>
      <w:r w:rsidR="00164DCE" w:rsidRPr="00BB6801">
        <w:rPr>
          <w:b/>
        </w:rPr>
        <w:t xml:space="preserve"> V</w:t>
      </w:r>
      <w:r w:rsidR="00164DCE">
        <w:t xml:space="preserve"> and </w:t>
      </w:r>
      <w:r w:rsidR="00164DCE" w:rsidRPr="00BB6801">
        <w:rPr>
          <w:b/>
        </w:rPr>
        <w:t>n</w:t>
      </w:r>
      <w:r w:rsidR="00164DCE">
        <w:t xml:space="preserve"> </w:t>
      </w:r>
      <w:r>
        <w:t xml:space="preserve">from Table </w:t>
      </w:r>
      <w:r w:rsidR="00BB6801">
        <w:t>3</w:t>
      </w:r>
      <w:r>
        <w:t xml:space="preserve"> reveals a constant</w:t>
      </w:r>
      <w:r w:rsidR="004B5787">
        <w:t>,</w:t>
      </w:r>
      <w:r>
        <w:t xml:space="preserve"> </w:t>
      </w:r>
      <w:r w:rsidR="004B5787">
        <w:t xml:space="preserve">absolute </w:t>
      </w:r>
      <w:r>
        <w:t xml:space="preserve">deviance </w:t>
      </w:r>
      <w:r w:rsidR="00164DCE">
        <w:t xml:space="preserve">from ideality </w:t>
      </w:r>
      <w:r w:rsidR="004B5787">
        <w:t>versus</w:t>
      </w:r>
      <w:r w:rsidR="003D2648">
        <w:t xml:space="preserve"> temperature. For He, </w:t>
      </w:r>
      <w:r w:rsidR="003D2648" w:rsidRPr="00B550B6">
        <w:rPr>
          <w:b/>
        </w:rPr>
        <w:sym w:font="Symbol" w:char="F044"/>
      </w:r>
      <w:r w:rsidR="003D2648" w:rsidRPr="00B550B6">
        <w:rPr>
          <w:b/>
        </w:rPr>
        <w:t>P</w:t>
      </w:r>
      <w:r w:rsidR="00BF6F16">
        <w:rPr>
          <w:b/>
        </w:rPr>
        <w:t>=</w:t>
      </w:r>
      <w:r w:rsidR="00BF6F16">
        <w:rPr>
          <w:b/>
        </w:rPr>
        <w:sym w:font="Symbol" w:char="F044"/>
      </w:r>
      <w:proofErr w:type="gramStart"/>
      <w:r w:rsidR="00BF6F16">
        <w:rPr>
          <w:b/>
        </w:rPr>
        <w:t>P</w:t>
      </w:r>
      <w:r w:rsidR="007550CD">
        <w:rPr>
          <w:b/>
          <w:vertAlign w:val="subscript"/>
        </w:rPr>
        <w:t>T</w:t>
      </w:r>
      <w:r w:rsidR="00BF6F16">
        <w:rPr>
          <w:b/>
        </w:rPr>
        <w:t xml:space="preserve"> </w:t>
      </w:r>
      <w:r w:rsidR="003D2648">
        <w:t xml:space="preserve"> is</w:t>
      </w:r>
      <w:proofErr w:type="gramEnd"/>
      <w:r>
        <w:t xml:space="preserve"> 1.00*10</w:t>
      </w:r>
      <w:r>
        <w:rPr>
          <w:vertAlign w:val="superscript"/>
        </w:rPr>
        <w:noBreakHyphen/>
        <w:t>4</w:t>
      </w:r>
      <w:r w:rsidR="003D2648">
        <w:t xml:space="preserve"> </w:t>
      </w:r>
      <w:proofErr w:type="spellStart"/>
      <w:r w:rsidR="003D2648">
        <w:t>atm</w:t>
      </w:r>
      <w:proofErr w:type="spellEnd"/>
      <w:r w:rsidR="003D2648">
        <w:t xml:space="preserve">  and</w:t>
      </w:r>
      <w:r>
        <w:t xml:space="preserve"> for </w:t>
      </w:r>
      <w:proofErr w:type="spellStart"/>
      <w:r>
        <w:t>Xe</w:t>
      </w:r>
      <w:proofErr w:type="spellEnd"/>
      <w:r>
        <w:t xml:space="preserve"> it is 1.07*10</w:t>
      </w:r>
      <w:r>
        <w:rPr>
          <w:vertAlign w:val="superscript"/>
        </w:rPr>
        <w:t>-2</w:t>
      </w:r>
      <w:r>
        <w:t xml:space="preserve"> atm.</w:t>
      </w:r>
    </w:p>
    <w:p w:rsidR="003D2648" w:rsidRDefault="00C54D2D" w:rsidP="000C2E01">
      <w:pPr>
        <w:spacing w:line="360" w:lineRule="auto"/>
      </w:pPr>
      <w:r>
        <w:rPr>
          <w:noProof/>
        </w:rPr>
        <w:pict>
          <v:shape id="_x0000_s1033" type="#_x0000_t202" style="position:absolute;margin-left:223.25pt;margin-top:135.6pt;width:70.8pt;height:26.75pt;z-index:251663360" filled="f" stroked="f">
            <v:textbox style="mso-next-textbox:#_x0000_s1033">
              <w:txbxContent>
                <w:p w:rsidR="00B550B6" w:rsidRPr="00B550B6" w:rsidRDefault="00DA1BD7">
                  <w:pPr>
                    <w:rPr>
                      <w:b/>
                    </w:rPr>
                  </w:pPr>
                  <w:r>
                    <w:rPr>
                      <w:b/>
                    </w:rPr>
                    <w:t>50*</w:t>
                  </w:r>
                  <w:r>
                    <w:rPr>
                      <w:b/>
                    </w:rPr>
                    <w:sym w:font="Symbol" w:char="F044"/>
                  </w:r>
                  <w:proofErr w:type="gramStart"/>
                  <w:r>
                    <w:rPr>
                      <w:b/>
                    </w:rPr>
                    <w:t>P</w:t>
                  </w:r>
                  <w:r w:rsidR="007550CD">
                    <w:rPr>
                      <w:b/>
                      <w:vertAlign w:val="subscript"/>
                    </w:rPr>
                    <w:t>T</w:t>
                  </w:r>
                  <w:r>
                    <w:rPr>
                      <w:b/>
                    </w:rPr>
                    <w:t>(</w:t>
                  </w:r>
                  <w:proofErr w:type="gramEnd"/>
                  <w:r w:rsidR="00B550B6" w:rsidRPr="00B550B6">
                    <w:rPr>
                      <w:b/>
                    </w:rPr>
                    <w:t>He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47.55pt;margin-top:73.7pt;width:58.35pt;height:43.45pt;z-index:251662336" filled="f" stroked="f">
            <v:textbox style="mso-next-textbox:#_x0000_s1032">
              <w:txbxContent>
                <w:p w:rsidR="00B550B6" w:rsidRPr="00B550B6" w:rsidRDefault="00DA1BD7">
                  <w:pPr>
                    <w:rPr>
                      <w:b/>
                    </w:rPr>
                  </w:pPr>
                  <w:r>
                    <w:rPr>
                      <w:b/>
                    </w:rPr>
                    <w:sym w:font="Symbol" w:char="F044"/>
                  </w:r>
                  <w:proofErr w:type="gramStart"/>
                  <w:r>
                    <w:rPr>
                      <w:b/>
                    </w:rPr>
                    <w:t>P</w:t>
                  </w:r>
                  <w:r w:rsidR="007550CD">
                    <w:rPr>
                      <w:b/>
                      <w:vertAlign w:val="subscript"/>
                    </w:rPr>
                    <w:t>T</w:t>
                  </w:r>
                  <w:r>
                    <w:rPr>
                      <w:b/>
                    </w:rPr>
                    <w:t>(</w:t>
                  </w:r>
                  <w:proofErr w:type="spellStart"/>
                  <w:proofErr w:type="gramEnd"/>
                  <w:r w:rsidR="00B550B6" w:rsidRPr="00B550B6">
                    <w:rPr>
                      <w:b/>
                    </w:rPr>
                    <w:t>Xe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8.65pt;margin-top:64.75pt;width:1.2pt;height:105.95pt;z-index:251666432" o:connectortype="straight" strokecolor="red" strokeweight="2.75pt">
            <v:stroke startarrow="block" endarrow="block"/>
          </v:shape>
        </w:pict>
      </w:r>
      <w:r w:rsidR="00DA431A" w:rsidRPr="00DA431A">
        <w:rPr>
          <w:noProof/>
          <w:lang w:eastAsia="zh-CN"/>
        </w:rPr>
        <w:drawing>
          <wp:inline distT="0" distB="0" distL="0" distR="0">
            <wp:extent cx="5048250" cy="27432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2648" w:rsidRPr="00D03918" w:rsidRDefault="003D2648" w:rsidP="000C2E01">
      <w:pPr>
        <w:spacing w:line="360" w:lineRule="auto"/>
      </w:pPr>
    </w:p>
    <w:p w:rsidR="004C0EDB" w:rsidRPr="004C0EDB" w:rsidRDefault="006C2A9E" w:rsidP="000C2E01">
      <w:pPr>
        <w:spacing w:line="360" w:lineRule="auto"/>
      </w:pPr>
      <w:r w:rsidRPr="00E95900">
        <w:rPr>
          <w:b/>
        </w:rPr>
        <w:t>P</w:t>
      </w:r>
      <w:r>
        <w:t xml:space="preserve"> </w:t>
      </w:r>
      <w:r w:rsidR="005346F0">
        <w:t xml:space="preserve"> </w:t>
      </w:r>
      <w:r>
        <w:t xml:space="preserve">vs. </w:t>
      </w:r>
      <w:r w:rsidR="00BB6801">
        <w:t xml:space="preserve"> </w:t>
      </w:r>
      <w:proofErr w:type="gramStart"/>
      <w:r w:rsidR="00BB6801" w:rsidRPr="00E95900">
        <w:rPr>
          <w:b/>
        </w:rPr>
        <w:t>n</w:t>
      </w:r>
      <w:r w:rsidR="00BB6801" w:rsidRPr="00E95900">
        <w:rPr>
          <w:b/>
          <w:vertAlign w:val="superscript"/>
        </w:rPr>
        <w:t>2</w:t>
      </w:r>
      <w:r>
        <w:t xml:space="preserve">  and</w:t>
      </w:r>
      <w:proofErr w:type="gramEnd"/>
      <w:r>
        <w:t xml:space="preserve"> </w:t>
      </w:r>
      <w:r w:rsidRPr="00E95900">
        <w:rPr>
          <w:b/>
        </w:rPr>
        <w:t>P</w:t>
      </w:r>
      <w:r>
        <w:t xml:space="preserve"> vs. </w:t>
      </w:r>
      <w:r w:rsidR="00BB6801">
        <w:t>(</w:t>
      </w:r>
      <w:r w:rsidR="00BB6801" w:rsidRPr="00E95900">
        <w:rPr>
          <w:b/>
        </w:rPr>
        <w:t>1/V</w:t>
      </w:r>
      <w:r w:rsidR="00BB6801" w:rsidRPr="00E95900">
        <w:rPr>
          <w:b/>
          <w:vertAlign w:val="superscript"/>
        </w:rPr>
        <w:t>2</w:t>
      </w:r>
      <w:r w:rsidR="00BB6801">
        <w:t>)  plots derived from Table 1 and 2, respectively, yield Figures 2 and 3</w:t>
      </w:r>
      <w:r w:rsidR="004B5787">
        <w:t xml:space="preserve"> respectively</w:t>
      </w:r>
      <w:r w:rsidR="00BB6801">
        <w:t>.</w:t>
      </w:r>
      <w:r>
        <w:t xml:space="preserve"> Linear regression analysis of the data from these tw</w:t>
      </w:r>
      <w:r w:rsidR="00E95900">
        <w:t>o plots are summarized in Table 4</w:t>
      </w:r>
      <w:r>
        <w:t>.</w:t>
      </w:r>
      <w:r w:rsidR="00E95900">
        <w:t xml:space="preserve"> </w:t>
      </w:r>
    </w:p>
    <w:p w:rsidR="006C2A9E" w:rsidRDefault="00C54D2D" w:rsidP="000C2E01">
      <w:pPr>
        <w:spacing w:line="360" w:lineRule="auto"/>
      </w:pPr>
      <w:r>
        <w:rPr>
          <w:noProof/>
        </w:rPr>
        <w:lastRenderedPageBreak/>
        <w:pict>
          <v:shape id="_x0000_s1039" type="#_x0000_t202" style="position:absolute;margin-left:301.75pt;margin-top:48.7pt;width:50.55pt;height:26.15pt;z-index:251668480" filled="f" stroked="f">
            <v:textbox>
              <w:txbxContent>
                <w:p w:rsidR="008A1958" w:rsidRPr="008A1958" w:rsidRDefault="008A1958">
                  <w:pPr>
                    <w:rPr>
                      <w:b/>
                    </w:rPr>
                  </w:pPr>
                  <w:r w:rsidRPr="008A1958">
                    <w:rPr>
                      <w:b/>
                    </w:rPr>
                    <w:sym w:font="Symbol" w:char="F044"/>
                  </w:r>
                  <w:proofErr w:type="gramStart"/>
                  <w:r w:rsidRPr="008A1958">
                    <w:rPr>
                      <w:b/>
                    </w:rPr>
                    <w:t>P(</w:t>
                  </w:r>
                  <w:proofErr w:type="spellStart"/>
                  <w:proofErr w:type="gramEnd"/>
                  <w:r w:rsidRPr="008A1958">
                    <w:rPr>
                      <w:b/>
                    </w:rPr>
                    <w:t>Xe</w:t>
                  </w:r>
                  <w:proofErr w:type="spellEnd"/>
                  <w:r w:rsidRPr="008A195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92.8pt;margin-top:113.55pt;width:67.8pt;height:38.65pt;z-index:251667456" filled="f" stroked="f">
            <v:textbox>
              <w:txbxContent>
                <w:p w:rsidR="008A1958" w:rsidRPr="008A1958" w:rsidRDefault="008A1958">
                  <w:pPr>
                    <w:rPr>
                      <w:b/>
                    </w:rPr>
                  </w:pPr>
                  <w:r w:rsidRPr="008A1958">
                    <w:rPr>
                      <w:b/>
                    </w:rPr>
                    <w:t>50*</w:t>
                  </w:r>
                  <w:r w:rsidRPr="008A1958">
                    <w:rPr>
                      <w:b/>
                    </w:rPr>
                    <w:sym w:font="Symbol" w:char="F044"/>
                  </w:r>
                  <w:proofErr w:type="gramStart"/>
                  <w:r w:rsidRPr="008A1958">
                    <w:rPr>
                      <w:b/>
                    </w:rPr>
                    <w:t>P(</w:t>
                  </w:r>
                  <w:proofErr w:type="gramEnd"/>
                  <w:r w:rsidRPr="008A1958">
                    <w:rPr>
                      <w:b/>
                    </w:rPr>
                    <w:t>He)</w:t>
                  </w:r>
                </w:p>
              </w:txbxContent>
            </v:textbox>
          </v:shape>
        </w:pict>
      </w:r>
      <w:r w:rsidR="008A1958" w:rsidRPr="008A1958">
        <w:rPr>
          <w:noProof/>
          <w:lang w:eastAsia="zh-CN"/>
        </w:rPr>
        <w:drawing>
          <wp:inline distT="0" distB="0" distL="0" distR="0">
            <wp:extent cx="457200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pict>
          <v:shape id="_x0000_s1030" type="#_x0000_t202" style="position:absolute;margin-left:292.8pt;margin-top:149pt;width:35.15pt;height:27.95pt;z-index:251660288;mso-position-horizontal-relative:text;mso-position-vertical-relative:text" filled="f" stroked="f">
            <v:textbox>
              <w:txbxContent>
                <w:p w:rsidR="00B550B6" w:rsidRDefault="00B550B6">
                  <w:r>
                    <w:t>He</w:t>
                  </w:r>
                </w:p>
              </w:txbxContent>
            </v:textbox>
          </v:shape>
        </w:pict>
      </w:r>
    </w:p>
    <w:p w:rsidR="006C2A9E" w:rsidRDefault="00C54D2D" w:rsidP="000C2E01">
      <w:pPr>
        <w:spacing w:line="360" w:lineRule="auto"/>
      </w:pPr>
      <w:r>
        <w:rPr>
          <w:noProof/>
        </w:rPr>
        <w:pict>
          <v:shape id="_x0000_s1031" type="#_x0000_t202" style="position:absolute;margin-left:296.45pt;margin-top:127.65pt;width:76.25pt;height:27.95pt;z-index:251661312" filled="f" stroked="f">
            <v:textbox>
              <w:txbxContent>
                <w:p w:rsidR="00B550B6" w:rsidRPr="008A1958" w:rsidRDefault="008A1958" w:rsidP="00B550B6">
                  <w:pPr>
                    <w:rPr>
                      <w:b/>
                    </w:rPr>
                  </w:pPr>
                  <w:r w:rsidRPr="008A1958">
                    <w:rPr>
                      <w:b/>
                    </w:rPr>
                    <w:t>50*</w:t>
                  </w:r>
                  <w:r w:rsidRPr="008A1958">
                    <w:rPr>
                      <w:b/>
                    </w:rPr>
                    <w:sym w:font="Symbol" w:char="F044"/>
                  </w:r>
                  <w:proofErr w:type="gramStart"/>
                  <w:r w:rsidRPr="008A1958">
                    <w:rPr>
                      <w:b/>
                    </w:rPr>
                    <w:t>P(</w:t>
                  </w:r>
                  <w:proofErr w:type="gramEnd"/>
                  <w:r w:rsidR="00B550B6" w:rsidRPr="008A1958">
                    <w:rPr>
                      <w:b/>
                    </w:rPr>
                    <w:t>He</w:t>
                  </w:r>
                  <w:r w:rsidRPr="008A195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05.9pt;margin-top:37.2pt;width:46.4pt;height:25.6pt;z-index:251669504" filled="f" strokecolor="#ffc000">
            <v:textbox>
              <w:txbxContent>
                <w:p w:rsidR="008A1958" w:rsidRPr="008A1958" w:rsidRDefault="008A1958">
                  <w:pPr>
                    <w:rPr>
                      <w:b/>
                    </w:rPr>
                  </w:pPr>
                  <w:r w:rsidRPr="008A1958">
                    <w:rPr>
                      <w:b/>
                    </w:rPr>
                    <w:sym w:font="Symbol" w:char="F044"/>
                  </w:r>
                  <w:proofErr w:type="gramStart"/>
                  <w:r w:rsidRPr="008A1958">
                    <w:rPr>
                      <w:b/>
                    </w:rPr>
                    <w:t>P(</w:t>
                  </w:r>
                  <w:proofErr w:type="spellStart"/>
                  <w:proofErr w:type="gramEnd"/>
                  <w:r w:rsidRPr="008A1958">
                    <w:rPr>
                      <w:b/>
                    </w:rPr>
                    <w:t>Xe</w:t>
                  </w:r>
                  <w:proofErr w:type="spellEnd"/>
                  <w:r w:rsidRPr="008A195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8A1958" w:rsidRPr="008A1958">
        <w:rPr>
          <w:noProof/>
          <w:lang w:eastAsia="zh-CN"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2A9E" w:rsidRDefault="006C2A9E" w:rsidP="000C2E01">
      <w:pPr>
        <w:spacing w:line="360" w:lineRule="auto"/>
      </w:pPr>
    </w:p>
    <w:p w:rsidR="00B87BDF" w:rsidRPr="006B4FFB" w:rsidRDefault="00E95900" w:rsidP="000C2E01">
      <w:pPr>
        <w:spacing w:line="360" w:lineRule="auto"/>
        <w:rPr>
          <w:b/>
        </w:rPr>
      </w:pPr>
      <w:r w:rsidRPr="006B4FFB">
        <w:rPr>
          <w:b/>
        </w:rPr>
        <w:t>Table 4</w:t>
      </w:r>
      <w:r w:rsidR="006C2A9E" w:rsidRPr="006B4FFB">
        <w:rPr>
          <w:b/>
        </w:rPr>
        <w:t>: Linear Regression Co</w:t>
      </w:r>
      <w:r w:rsidR="00B87BDF" w:rsidRPr="006B4FFB">
        <w:rPr>
          <w:b/>
        </w:rPr>
        <w:t>efficients Derived from</w:t>
      </w:r>
      <w:r w:rsidRPr="006B4FFB">
        <w:rPr>
          <w:b/>
        </w:rPr>
        <w:t xml:space="preserve"> </w:t>
      </w:r>
      <w:r w:rsidR="00B87BDF" w:rsidRPr="006B4FFB">
        <w:rPr>
          <w:b/>
        </w:rPr>
        <w:t>Figures 2 and 3</w:t>
      </w:r>
    </w:p>
    <w:p w:rsidR="00B87BDF" w:rsidRPr="00333BF2" w:rsidRDefault="00B87BDF" w:rsidP="00B87BDF">
      <w:pPr>
        <w:rPr>
          <w:vertAlign w:val="superscript"/>
          <w:lang w:val="fr-FR"/>
        </w:rPr>
      </w:pPr>
      <w:r w:rsidRPr="00333BF2">
        <w:rPr>
          <w:lang w:val="fr-FR"/>
        </w:rPr>
        <w:t>Figure 2:</w:t>
      </w:r>
      <w:r w:rsidRPr="00333BF2">
        <w:rPr>
          <w:lang w:val="fr-FR"/>
        </w:rPr>
        <w:tab/>
        <w:t xml:space="preserve">    </w:t>
      </w:r>
      <w:r>
        <w:sym w:font="Symbol" w:char="F044"/>
      </w:r>
      <w:r w:rsidRPr="00333BF2">
        <w:rPr>
          <w:lang w:val="fr-FR"/>
        </w:rPr>
        <w:t>P= mn</w:t>
      </w:r>
      <w:r w:rsidRPr="00333BF2">
        <w:rPr>
          <w:vertAlign w:val="superscript"/>
          <w:lang w:val="fr-FR"/>
        </w:rPr>
        <w:t>2</w:t>
      </w:r>
      <w:r w:rsidRPr="00333BF2">
        <w:rPr>
          <w:lang w:val="fr-FR"/>
        </w:rPr>
        <w:t xml:space="preserve"> +b</w:t>
      </w:r>
      <w:r w:rsidRPr="00333BF2">
        <w:rPr>
          <w:lang w:val="fr-FR"/>
        </w:rPr>
        <w:tab/>
      </w:r>
      <w:r w:rsidRPr="00333BF2">
        <w:rPr>
          <w:lang w:val="fr-FR"/>
        </w:rPr>
        <w:tab/>
      </w:r>
      <w:r w:rsidRPr="00333BF2">
        <w:rPr>
          <w:lang w:val="fr-FR"/>
        </w:rPr>
        <w:tab/>
        <w:t xml:space="preserve">Figure 3:             </w:t>
      </w:r>
      <w:r>
        <w:sym w:font="Symbol" w:char="F044"/>
      </w:r>
      <w:r w:rsidRPr="00333BF2">
        <w:rPr>
          <w:lang w:val="fr-FR"/>
        </w:rPr>
        <w:t xml:space="preserve">P = </w:t>
      </w:r>
      <w:proofErr w:type="gramStart"/>
      <w:r w:rsidRPr="00333BF2">
        <w:rPr>
          <w:lang w:val="fr-FR"/>
        </w:rPr>
        <w:t>m’(</w:t>
      </w:r>
      <w:proofErr w:type="gramEnd"/>
      <w:r w:rsidRPr="00333BF2">
        <w:rPr>
          <w:lang w:val="fr-FR"/>
        </w:rPr>
        <w:t>1/V</w:t>
      </w:r>
      <w:r w:rsidRPr="00333BF2">
        <w:rPr>
          <w:vertAlign w:val="superscript"/>
          <w:lang w:val="fr-FR"/>
        </w:rPr>
        <w:t>2</w:t>
      </w:r>
      <w:r w:rsidRPr="00333BF2">
        <w:rPr>
          <w:lang w:val="fr-FR"/>
        </w:rPr>
        <w:t>) + b</w:t>
      </w:r>
      <w:r w:rsidRPr="00333BF2">
        <w:rPr>
          <w:vertAlign w:val="superscript"/>
          <w:lang w:val="fr-FR"/>
        </w:rPr>
        <w:t>-‘</w:t>
      </w:r>
    </w:p>
    <w:p w:rsidR="00E95900" w:rsidRPr="00E95900" w:rsidRDefault="00E95900" w:rsidP="00B87BDF">
      <w:pPr>
        <w:rPr>
          <w:vertAlign w:val="superscript"/>
          <w:lang w:val="fr-FR"/>
        </w:rPr>
      </w:pPr>
      <w:r w:rsidRPr="00333BF2">
        <w:rPr>
          <w:vertAlign w:val="superscript"/>
          <w:lang w:val="fr-FR"/>
        </w:rPr>
        <w:tab/>
      </w:r>
      <w:r w:rsidRPr="00333BF2">
        <w:rPr>
          <w:vertAlign w:val="superscript"/>
          <w:lang w:val="fr-FR"/>
        </w:rPr>
        <w:tab/>
      </w:r>
      <w:r w:rsidRPr="00E95900">
        <w:rPr>
          <w:vertAlign w:val="superscript"/>
          <w:lang w:val="fr-FR"/>
        </w:rPr>
        <w:t xml:space="preserve">  </w:t>
      </w:r>
      <w:r w:rsidRPr="00E95900">
        <w:rPr>
          <w:lang w:val="fr-FR"/>
        </w:rPr>
        <w:t xml:space="preserve">    V=20.000 L, T =300.0K</w:t>
      </w:r>
      <w:r w:rsidRPr="00E95900">
        <w:rPr>
          <w:lang w:val="fr-FR"/>
        </w:rPr>
        <w:tab/>
      </w:r>
      <w:r w:rsidRPr="00E95900">
        <w:rPr>
          <w:lang w:val="fr-FR"/>
        </w:rPr>
        <w:tab/>
      </w:r>
      <w:r w:rsidRPr="00E95900">
        <w:rPr>
          <w:lang w:val="fr-FR"/>
        </w:rPr>
        <w:tab/>
        <w:t>n=1.000 mol, T=300.0 K</w:t>
      </w:r>
      <w:r w:rsidRPr="00E95900">
        <w:rPr>
          <w:vertAlign w:val="superscript"/>
          <w:lang w:val="fr-FR"/>
        </w:rPr>
        <w:tab/>
      </w:r>
    </w:p>
    <w:p w:rsidR="00B87BDF" w:rsidRPr="00B87BDF" w:rsidRDefault="00B87BDF" w:rsidP="00B87BDF">
      <w:pPr>
        <w:rPr>
          <w:u w:val="single"/>
        </w:rPr>
      </w:pPr>
      <w:r w:rsidRPr="00B87BDF">
        <w:rPr>
          <w:u w:val="single"/>
        </w:rPr>
        <w:t>Gas</w:t>
      </w:r>
      <w:r w:rsidRPr="00B87BDF">
        <w:rPr>
          <w:u w:val="single"/>
        </w:rPr>
        <w:tab/>
      </w:r>
      <w:r w:rsidRPr="00B87BDF">
        <w:rPr>
          <w:u w:val="single"/>
        </w:rPr>
        <w:tab/>
        <w:t>m</w:t>
      </w:r>
      <w:r w:rsidRPr="00B87BDF">
        <w:rPr>
          <w:u w:val="single"/>
        </w:rPr>
        <w:tab/>
        <w:t>b</w:t>
      </w:r>
      <w:r w:rsidRPr="00B87BDF">
        <w:rPr>
          <w:u w:val="single"/>
        </w:rPr>
        <w:tab/>
        <w:t xml:space="preserve"> </w:t>
      </w:r>
      <w:r w:rsidR="00E95900">
        <w:rPr>
          <w:u w:val="single"/>
        </w:rPr>
        <w:t xml:space="preserve"> </w:t>
      </w:r>
      <w:r w:rsidRPr="00B87BDF">
        <w:rPr>
          <w:u w:val="single"/>
        </w:rPr>
        <w:t xml:space="preserve">   r</w:t>
      </w:r>
      <w:r w:rsidRPr="00B87BDF">
        <w:rPr>
          <w:u w:val="single"/>
          <w:vertAlign w:val="superscript"/>
        </w:rPr>
        <w:t>2</w:t>
      </w:r>
      <w:r w:rsidRPr="00B87BDF">
        <w:rPr>
          <w:u w:val="single"/>
        </w:rPr>
        <w:tab/>
      </w:r>
      <w:r w:rsidRPr="00B87BDF">
        <w:rPr>
          <w:u w:val="single"/>
        </w:rPr>
        <w:tab/>
      </w:r>
      <w:r w:rsidRPr="00B87BDF">
        <w:rPr>
          <w:u w:val="single"/>
        </w:rPr>
        <w:tab/>
        <w:t>m’</w:t>
      </w:r>
      <w:r w:rsidRPr="00B87BDF">
        <w:rPr>
          <w:u w:val="single"/>
        </w:rPr>
        <w:tab/>
      </w:r>
      <w:r w:rsidR="00E95900">
        <w:rPr>
          <w:u w:val="single"/>
        </w:rPr>
        <w:t xml:space="preserve">            </w:t>
      </w:r>
      <w:r w:rsidRPr="00B87BDF">
        <w:rPr>
          <w:u w:val="single"/>
        </w:rPr>
        <w:t>b’</w:t>
      </w:r>
      <w:r w:rsidRPr="00B87BDF">
        <w:rPr>
          <w:u w:val="single"/>
        </w:rPr>
        <w:tab/>
        <w:t xml:space="preserve">   </w:t>
      </w:r>
      <w:r w:rsidR="00E95900">
        <w:rPr>
          <w:u w:val="single"/>
        </w:rPr>
        <w:t xml:space="preserve"> </w:t>
      </w:r>
      <w:r w:rsidRPr="00B87BDF">
        <w:rPr>
          <w:u w:val="single"/>
        </w:rPr>
        <w:t xml:space="preserve"> r</w:t>
      </w:r>
      <w:r w:rsidRPr="00B87BDF">
        <w:rPr>
          <w:u w:val="single"/>
          <w:vertAlign w:val="superscript"/>
        </w:rPr>
        <w:t>2</w:t>
      </w:r>
      <w:r w:rsidRPr="00B87BDF">
        <w:rPr>
          <w:u w:val="single"/>
        </w:rPr>
        <w:tab/>
      </w:r>
    </w:p>
    <w:p w:rsidR="00B87BDF" w:rsidRPr="00B87BDF" w:rsidRDefault="00B87BDF" w:rsidP="00B87BDF">
      <w:r>
        <w:t>He</w:t>
      </w:r>
      <w:r>
        <w:tab/>
        <w:t xml:space="preserve">      8.50*10</w:t>
      </w:r>
      <w:r>
        <w:rPr>
          <w:vertAlign w:val="superscript"/>
        </w:rPr>
        <w:noBreakHyphen/>
        <w:t>5</w:t>
      </w:r>
      <w:r>
        <w:t xml:space="preserve">   -5.10*10</w:t>
      </w:r>
      <w:r>
        <w:rPr>
          <w:vertAlign w:val="superscript"/>
        </w:rPr>
        <w:t>-5</w:t>
      </w:r>
      <w:r>
        <w:t xml:space="preserve">  </w:t>
      </w:r>
      <w:r w:rsidR="00E95900">
        <w:t xml:space="preserve">  </w:t>
      </w:r>
      <w:r>
        <w:t>0.99999</w:t>
      </w:r>
      <w:r>
        <w:tab/>
      </w:r>
      <w:r>
        <w:tab/>
        <w:t>3.39*10</w:t>
      </w:r>
      <w:r>
        <w:rPr>
          <w:vertAlign w:val="superscript"/>
        </w:rPr>
        <w:t xml:space="preserve">-2 </w:t>
      </w:r>
      <w:r>
        <w:t xml:space="preserve">        5.21*10</w:t>
      </w:r>
      <w:r>
        <w:rPr>
          <w:vertAlign w:val="superscript"/>
        </w:rPr>
        <w:noBreakHyphen/>
        <w:t xml:space="preserve">5 </w:t>
      </w:r>
      <w:r>
        <w:t xml:space="preserve"> </w:t>
      </w:r>
      <w:r w:rsidR="00E95900">
        <w:t xml:space="preserve"> </w:t>
      </w:r>
      <w:r>
        <w:t>0.99999</w:t>
      </w:r>
    </w:p>
    <w:p w:rsidR="00C80D50" w:rsidRDefault="00B87BDF" w:rsidP="00C80D50">
      <w:proofErr w:type="spellStart"/>
      <w:r>
        <w:t>Xe</w:t>
      </w:r>
      <w:proofErr w:type="spellEnd"/>
      <w:r>
        <w:tab/>
        <w:t xml:space="preserve">      1.06*10</w:t>
      </w:r>
      <w:r>
        <w:rPr>
          <w:vertAlign w:val="superscript"/>
        </w:rPr>
        <w:t xml:space="preserve">-2     </w:t>
      </w:r>
      <w:r>
        <w:t>-2.44*10</w:t>
      </w:r>
      <w:r>
        <w:rPr>
          <w:vertAlign w:val="superscript"/>
        </w:rPr>
        <w:noBreakHyphen/>
        <w:t xml:space="preserve">6   </w:t>
      </w:r>
      <w:r w:rsidR="00E95900">
        <w:rPr>
          <w:vertAlign w:val="superscript"/>
        </w:rPr>
        <w:t xml:space="preserve">   </w:t>
      </w:r>
      <w:r w:rsidR="00E95900">
        <w:t>1.00000</w:t>
      </w:r>
      <w:r>
        <w:tab/>
      </w:r>
      <w:r>
        <w:tab/>
        <w:t>4.25                  1.24*10</w:t>
      </w:r>
      <w:r>
        <w:rPr>
          <w:vertAlign w:val="superscript"/>
        </w:rPr>
        <w:noBreakHyphen/>
        <w:t>6</w:t>
      </w:r>
      <w:r>
        <w:t xml:space="preserve"> </w:t>
      </w:r>
      <w:r w:rsidR="00E95900">
        <w:t xml:space="preserve">  </w:t>
      </w:r>
      <w:r>
        <w:t xml:space="preserve">1.00000  </w:t>
      </w:r>
    </w:p>
    <w:p w:rsidR="00B87BDF" w:rsidRDefault="00B87BDF" w:rsidP="00C80D50">
      <w:pPr>
        <w:rPr>
          <w:b/>
        </w:rPr>
      </w:pPr>
      <w:r>
        <w:tab/>
      </w:r>
      <w:r w:rsidRPr="00B56A93">
        <w:rPr>
          <w:b/>
        </w:rPr>
        <w:t xml:space="preserve">       </w:t>
      </w:r>
      <w:proofErr w:type="spellStart"/>
      <w:proofErr w:type="gramStart"/>
      <w:r w:rsidRPr="00B56A93">
        <w:rPr>
          <w:b/>
        </w:rPr>
        <w:t>atm</w:t>
      </w:r>
      <w:proofErr w:type="spellEnd"/>
      <w:r w:rsidRPr="00B56A93">
        <w:rPr>
          <w:b/>
        </w:rPr>
        <w:t>/</w:t>
      </w:r>
      <w:r w:rsidR="004C0EDB" w:rsidRPr="00B56A93">
        <w:rPr>
          <w:b/>
        </w:rPr>
        <w:t>L</w:t>
      </w:r>
      <w:r w:rsidR="004C0EDB" w:rsidRPr="00B56A93">
        <w:rPr>
          <w:b/>
          <w:vertAlign w:val="superscript"/>
        </w:rPr>
        <w:t>2</w:t>
      </w:r>
      <w:proofErr w:type="gramEnd"/>
      <w:r w:rsidR="004C0EDB" w:rsidRPr="00B56A93">
        <w:rPr>
          <w:b/>
        </w:rPr>
        <w:t xml:space="preserve"> </w:t>
      </w:r>
      <w:r w:rsidRPr="00B56A93">
        <w:rPr>
          <w:b/>
        </w:rPr>
        <w:t>mol</w:t>
      </w:r>
      <w:r w:rsidRPr="00B56A93">
        <w:rPr>
          <w:b/>
          <w:vertAlign w:val="superscript"/>
        </w:rPr>
        <w:t>2</w:t>
      </w:r>
      <w:r w:rsidRPr="00B56A93">
        <w:rPr>
          <w:b/>
        </w:rPr>
        <w:t xml:space="preserve">      </w:t>
      </w:r>
      <w:proofErr w:type="spellStart"/>
      <w:r w:rsidRPr="00B56A93">
        <w:rPr>
          <w:b/>
        </w:rPr>
        <w:t>atm</w:t>
      </w:r>
      <w:proofErr w:type="spellEnd"/>
      <w:r w:rsidRPr="00B56A93">
        <w:rPr>
          <w:b/>
        </w:rPr>
        <w:tab/>
      </w:r>
      <w:r w:rsidRPr="00B56A93">
        <w:rPr>
          <w:b/>
        </w:rPr>
        <w:tab/>
      </w:r>
      <w:r w:rsidRPr="00B56A93">
        <w:rPr>
          <w:b/>
        </w:rPr>
        <w:tab/>
      </w:r>
      <w:r w:rsidRPr="00B56A93">
        <w:rPr>
          <w:b/>
        </w:rPr>
        <w:tab/>
      </w:r>
      <w:proofErr w:type="spellStart"/>
      <w:r w:rsidRPr="00B56A93">
        <w:rPr>
          <w:b/>
        </w:rPr>
        <w:t>atm</w:t>
      </w:r>
      <w:proofErr w:type="spellEnd"/>
      <w:r w:rsidR="004C0EDB" w:rsidRPr="00B56A93">
        <w:rPr>
          <w:b/>
        </w:rPr>
        <w:t xml:space="preserve"> L</w:t>
      </w:r>
      <w:r w:rsidR="004C0EDB" w:rsidRPr="00B56A93">
        <w:rPr>
          <w:b/>
          <w:vertAlign w:val="superscript"/>
        </w:rPr>
        <w:t>2</w:t>
      </w:r>
      <w:r w:rsidR="004C0EDB" w:rsidRPr="00B56A93">
        <w:rPr>
          <w:b/>
        </w:rPr>
        <w:t>/mol</w:t>
      </w:r>
      <w:r w:rsidR="004C0EDB" w:rsidRPr="00B56A93">
        <w:rPr>
          <w:b/>
          <w:vertAlign w:val="superscript"/>
        </w:rPr>
        <w:t>2</w:t>
      </w:r>
      <w:r w:rsidR="004C0EDB" w:rsidRPr="00B56A93">
        <w:rPr>
          <w:b/>
        </w:rPr>
        <w:t xml:space="preserve">     </w:t>
      </w:r>
      <w:proofErr w:type="spellStart"/>
      <w:r w:rsidR="004C0EDB" w:rsidRPr="00B56A93">
        <w:rPr>
          <w:b/>
        </w:rPr>
        <w:t>atm</w:t>
      </w:r>
      <w:proofErr w:type="spellEnd"/>
    </w:p>
    <w:p w:rsidR="00C80D50" w:rsidRPr="00B56A93" w:rsidRDefault="00C80D50" w:rsidP="00C80D50">
      <w:pPr>
        <w:rPr>
          <w:b/>
        </w:rPr>
      </w:pPr>
    </w:p>
    <w:p w:rsidR="00E95900" w:rsidRDefault="00E95900" w:rsidP="000C2E01">
      <w:pPr>
        <w:spacing w:line="360" w:lineRule="auto"/>
      </w:pPr>
      <w:r>
        <w:t>Since the uncertainty in pressure measurement is assumed to be the prec</w:t>
      </w:r>
      <w:r w:rsidR="009922D5">
        <w:t xml:space="preserve">ision limit of the </w:t>
      </w:r>
      <w:proofErr w:type="spellStart"/>
      <w:r w:rsidR="009922D5">
        <w:t>Forey</w:t>
      </w:r>
      <w:proofErr w:type="spellEnd"/>
      <w:r>
        <w:t xml:space="preserve"> apparatus, </w:t>
      </w:r>
      <w:r>
        <w:sym w:font="Symbol" w:char="F0B1"/>
      </w:r>
      <w:r>
        <w:t>1*10</w:t>
      </w:r>
      <w:r>
        <w:rPr>
          <w:vertAlign w:val="superscript"/>
        </w:rPr>
        <w:noBreakHyphen/>
        <w:t>4</w:t>
      </w:r>
      <w:r>
        <w:t xml:space="preserve"> </w:t>
      </w:r>
      <w:proofErr w:type="spellStart"/>
      <w:r>
        <w:t>atm</w:t>
      </w:r>
      <w:proofErr w:type="spellEnd"/>
      <w:r>
        <w:t>, the inter</w:t>
      </w:r>
      <w:r w:rsidR="00284F14">
        <w:t>cept values above can be approximated</w:t>
      </w:r>
      <w:r>
        <w:t xml:space="preserve"> to be </w:t>
      </w:r>
      <w:r w:rsidR="00B56A93">
        <w:t>zero</w:t>
      </w:r>
      <w:r>
        <w:t xml:space="preserve">, </w:t>
      </w:r>
      <w:r w:rsidR="00284F14">
        <w:t>allowing</w:t>
      </w:r>
      <w:r>
        <w:t xml:space="preserve"> </w:t>
      </w:r>
      <w:r w:rsidR="006B4FFB">
        <w:t xml:space="preserve">direct </w:t>
      </w:r>
      <w:r>
        <w:t xml:space="preserve">estimation of </w:t>
      </w:r>
      <w:proofErr w:type="gramStart"/>
      <w:r>
        <w:t xml:space="preserve">the </w:t>
      </w:r>
      <w:r w:rsidRPr="006B4FFB">
        <w:rPr>
          <w:rFonts w:ascii="Arial Black" w:hAnsi="Arial Black"/>
          <w:b/>
        </w:rPr>
        <w:t>a</w:t>
      </w:r>
      <w:proofErr w:type="gramEnd"/>
      <w:r w:rsidR="006B4FFB">
        <w:rPr>
          <w:rFonts w:ascii="Arial Black" w:hAnsi="Arial Black"/>
          <w:b/>
        </w:rPr>
        <w:t xml:space="preserve"> </w:t>
      </w:r>
      <w:r w:rsidR="00B550B6">
        <w:t xml:space="preserve">from </w:t>
      </w:r>
      <w:r w:rsidR="00B550B6" w:rsidRPr="00B550B6">
        <w:rPr>
          <w:b/>
          <w:u w:val="single"/>
        </w:rPr>
        <w:t>3</w:t>
      </w:r>
      <w:r>
        <w:t xml:space="preserve"> </w:t>
      </w:r>
      <w:r w:rsidR="00B550B6">
        <w:t xml:space="preserve">and the slopes, </w:t>
      </w:r>
      <w:r w:rsidR="00B550B6" w:rsidRPr="00354A6C">
        <w:rPr>
          <w:b/>
        </w:rPr>
        <w:t>m</w:t>
      </w:r>
      <w:r w:rsidR="00B550B6">
        <w:t xml:space="preserve"> and </w:t>
      </w:r>
      <w:r w:rsidR="00B550B6" w:rsidRPr="00354A6C">
        <w:rPr>
          <w:b/>
        </w:rPr>
        <w:t>m’</w:t>
      </w:r>
      <w:r w:rsidR="00A0177A">
        <w:t>. From the fit of Figure 2:</w:t>
      </w:r>
    </w:p>
    <w:p w:rsidR="007550CD" w:rsidRDefault="007550CD" w:rsidP="00A0177A">
      <w:pPr>
        <w:rPr>
          <w:b/>
          <w:u w:val="single"/>
        </w:rPr>
      </w:pPr>
    </w:p>
    <w:p w:rsidR="00A0177A" w:rsidRPr="00A0177A" w:rsidRDefault="00A0177A" w:rsidP="00A0177A">
      <w:pPr>
        <w:rPr>
          <w:b/>
        </w:rPr>
      </w:pPr>
      <w:r w:rsidRPr="00A0177A">
        <w:rPr>
          <w:b/>
          <w:u w:val="single"/>
        </w:rPr>
        <w:t>4a</w:t>
      </w:r>
      <w:r>
        <w:tab/>
      </w:r>
      <w:r>
        <w:tab/>
      </w:r>
      <w:r>
        <w:tab/>
      </w:r>
      <w:r>
        <w:tab/>
      </w:r>
      <w:r w:rsidRPr="00111FA5">
        <w:rPr>
          <w:b/>
        </w:rPr>
        <w:sym w:font="Symbol" w:char="F044"/>
      </w:r>
      <w:r w:rsidRPr="00111FA5">
        <w:rPr>
          <w:b/>
        </w:rPr>
        <w:t>P</w:t>
      </w:r>
      <w:r>
        <w:rPr>
          <w:b/>
        </w:rPr>
        <w:t xml:space="preserve"> = </w:t>
      </w:r>
      <w:r w:rsidRPr="000C2E01">
        <w:rPr>
          <w:rFonts w:ascii="Arial Black" w:hAnsi="Arial Black"/>
          <w:b/>
          <w:u w:val="single"/>
        </w:rPr>
        <w:t>a</w:t>
      </w:r>
      <w:r w:rsidRPr="000C2E01">
        <w:rPr>
          <w:b/>
          <w:u w:val="single"/>
        </w:rPr>
        <w:t>n</w:t>
      </w:r>
      <w:r w:rsidRPr="000C2E01">
        <w:rPr>
          <w:b/>
          <w:u w:val="single"/>
          <w:vertAlign w:val="superscript"/>
        </w:rPr>
        <w:t>2</w:t>
      </w:r>
      <w:r>
        <w:rPr>
          <w:b/>
          <w:u w:val="single"/>
        </w:rPr>
        <w:t xml:space="preserve"> </w:t>
      </w:r>
      <w:r>
        <w:rPr>
          <w:b/>
        </w:rPr>
        <w:t xml:space="preserve">  = </w:t>
      </w:r>
      <w:r w:rsidRPr="006B4FFB">
        <w:rPr>
          <w:rFonts w:ascii="Arial Black" w:hAnsi="Arial Black"/>
          <w:b/>
          <w:u w:val="single"/>
        </w:rPr>
        <w:t>a</w:t>
      </w:r>
      <w:r w:rsidRPr="00A0177A">
        <w:rPr>
          <w:b/>
          <w:u w:val="single"/>
        </w:rPr>
        <w:t>*n</w:t>
      </w:r>
      <w:r w:rsidRPr="00A0177A">
        <w:rPr>
          <w:b/>
          <w:u w:val="single"/>
          <w:vertAlign w:val="superscript"/>
        </w:rPr>
        <w:t>2</w:t>
      </w:r>
      <w:r>
        <w:rPr>
          <w:b/>
          <w:u w:val="single"/>
        </w:rPr>
        <w:t xml:space="preserve">  </w:t>
      </w:r>
      <w:r>
        <w:rPr>
          <w:b/>
        </w:rPr>
        <w:t xml:space="preserve"> = mn</w:t>
      </w:r>
      <w:r>
        <w:rPr>
          <w:b/>
          <w:vertAlign w:val="superscript"/>
        </w:rPr>
        <w:t>2</w:t>
      </w:r>
    </w:p>
    <w:p w:rsidR="00A0177A" w:rsidRDefault="00A0177A" w:rsidP="00A0177A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  </w:t>
      </w:r>
      <w:r w:rsidRPr="00164DCE">
        <w:rPr>
          <w:b/>
        </w:rPr>
        <w:t>V</w:t>
      </w:r>
      <w:r w:rsidRPr="00164DCE">
        <w:rPr>
          <w:b/>
          <w:vertAlign w:val="superscript"/>
        </w:rPr>
        <w:t>2</w:t>
      </w:r>
      <w:r>
        <w:rPr>
          <w:b/>
          <w:vertAlign w:val="superscript"/>
        </w:rPr>
        <w:t xml:space="preserve">  </w:t>
      </w:r>
      <w:r>
        <w:rPr>
          <w:b/>
        </w:rPr>
        <w:t xml:space="preserve">       20</w:t>
      </w:r>
      <w:r>
        <w:rPr>
          <w:b/>
          <w:vertAlign w:val="superscript"/>
        </w:rPr>
        <w:t>2</w:t>
      </w:r>
      <w:r w:rsidRPr="00164DCE">
        <w:rPr>
          <w:b/>
        </w:rPr>
        <w:tab/>
      </w:r>
    </w:p>
    <w:p w:rsidR="00A0177A" w:rsidRDefault="00A0177A" w:rsidP="000C2E01">
      <w:pPr>
        <w:spacing w:line="360" w:lineRule="auto"/>
      </w:pPr>
      <w:r>
        <w:lastRenderedPageBreak/>
        <w:t>Similarly</w:t>
      </w:r>
      <w:r w:rsidR="00284F14">
        <w:t>,</w:t>
      </w:r>
      <w:r>
        <w:t xml:space="preserve"> from the fit of Figure 3:</w:t>
      </w:r>
    </w:p>
    <w:p w:rsidR="00A0177A" w:rsidRPr="00A0177A" w:rsidRDefault="00A0177A" w:rsidP="00A0177A">
      <w:pPr>
        <w:rPr>
          <w:b/>
        </w:rPr>
      </w:pPr>
      <w:r w:rsidRPr="00A0177A">
        <w:rPr>
          <w:b/>
          <w:u w:val="single"/>
        </w:rPr>
        <w:t>4b</w:t>
      </w:r>
      <w:r>
        <w:tab/>
      </w:r>
      <w:r>
        <w:tab/>
      </w:r>
      <w:r>
        <w:tab/>
      </w:r>
      <w:r>
        <w:tab/>
      </w:r>
      <w:r w:rsidR="00284F14">
        <w:sym w:font="Symbol" w:char="F044"/>
      </w:r>
      <w:r w:rsidRPr="00111FA5">
        <w:rPr>
          <w:b/>
        </w:rPr>
        <w:t>P</w:t>
      </w:r>
      <w:r>
        <w:rPr>
          <w:b/>
        </w:rPr>
        <w:t xml:space="preserve"> = </w:t>
      </w:r>
      <w:r w:rsidRPr="000C2E01">
        <w:rPr>
          <w:rFonts w:ascii="Arial Black" w:hAnsi="Arial Black"/>
          <w:b/>
          <w:u w:val="single"/>
        </w:rPr>
        <w:t>a</w:t>
      </w:r>
      <w:r w:rsidRPr="000C2E01">
        <w:rPr>
          <w:b/>
          <w:u w:val="single"/>
        </w:rPr>
        <w:t>n</w:t>
      </w:r>
      <w:r w:rsidRPr="000C2E01">
        <w:rPr>
          <w:b/>
          <w:u w:val="single"/>
          <w:vertAlign w:val="superscript"/>
        </w:rPr>
        <w:t>2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 xml:space="preserve">=  </w:t>
      </w:r>
      <w:r w:rsidRPr="006B4FFB">
        <w:rPr>
          <w:rFonts w:ascii="Arial Black" w:hAnsi="Arial Black"/>
          <w:b/>
          <w:u w:val="single"/>
        </w:rPr>
        <w:t>a</w:t>
      </w:r>
      <w:proofErr w:type="gramEnd"/>
      <w:r w:rsidRPr="006B4FFB">
        <w:rPr>
          <w:rFonts w:ascii="Arial Black" w:hAnsi="Arial Black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</w:rPr>
        <w:t xml:space="preserve"> = </w:t>
      </w:r>
      <w:r w:rsidRPr="00A0177A">
        <w:rPr>
          <w:b/>
          <w:u w:val="single"/>
        </w:rPr>
        <w:t>m’</w:t>
      </w:r>
    </w:p>
    <w:p w:rsidR="00A0177A" w:rsidRPr="00A0177A" w:rsidRDefault="00A0177A" w:rsidP="00A0177A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    </w:t>
      </w:r>
      <w:r w:rsidR="00284F14">
        <w:t xml:space="preserve"> </w:t>
      </w:r>
      <w:r>
        <w:t xml:space="preserve">  </w:t>
      </w:r>
      <w:r w:rsidRPr="00164DCE">
        <w:rPr>
          <w:b/>
        </w:rPr>
        <w:t>V</w:t>
      </w:r>
      <w:r w:rsidRPr="00164DCE">
        <w:rPr>
          <w:b/>
          <w:vertAlign w:val="superscript"/>
        </w:rPr>
        <w:t>2</w:t>
      </w:r>
      <w:r>
        <w:rPr>
          <w:b/>
          <w:vertAlign w:val="superscript"/>
        </w:rPr>
        <w:t xml:space="preserve">  </w:t>
      </w:r>
      <w:r>
        <w:rPr>
          <w:b/>
        </w:rPr>
        <w:t xml:space="preserve">       </w:t>
      </w:r>
      <w:proofErr w:type="spellStart"/>
      <w:r>
        <w:rPr>
          <w:b/>
        </w:rPr>
        <w:t>V</w:t>
      </w:r>
      <w:r>
        <w:rPr>
          <w:b/>
          <w:vertAlign w:val="superscript"/>
        </w:rPr>
        <w:t>2</w:t>
      </w:r>
      <w:proofErr w:type="spellEnd"/>
      <w:r w:rsidRPr="00164DCE">
        <w:rPr>
          <w:b/>
        </w:rPr>
        <w:tab/>
      </w:r>
      <w:r w:rsidR="00284F14">
        <w:rPr>
          <w:b/>
        </w:rPr>
        <w:t xml:space="preserve">    </w:t>
      </w:r>
      <w:proofErr w:type="spellStart"/>
      <w:r>
        <w:rPr>
          <w:b/>
        </w:rPr>
        <w:t>V</w:t>
      </w:r>
      <w:r>
        <w:rPr>
          <w:b/>
          <w:vertAlign w:val="superscript"/>
        </w:rPr>
        <w:t>2</w:t>
      </w:r>
      <w:proofErr w:type="spellEnd"/>
    </w:p>
    <w:p w:rsidR="00E95900" w:rsidRDefault="00A0177A" w:rsidP="000C2E01">
      <w:pPr>
        <w:spacing w:line="360" w:lineRule="auto"/>
        <w:rPr>
          <w:b/>
        </w:rPr>
      </w:pPr>
      <w:r>
        <w:t>Table 5 summarizes the computed and accepted</w:t>
      </w:r>
      <w:r w:rsidR="0067394D">
        <w:rPr>
          <w:vertAlign w:val="superscript"/>
        </w:rPr>
        <w:t>3</w:t>
      </w:r>
      <w:r>
        <w:t xml:space="preserve"> values of</w:t>
      </w:r>
      <w:r w:rsidRPr="00A0177A">
        <w:rPr>
          <w:b/>
        </w:rPr>
        <w:t xml:space="preserve"> </w:t>
      </w:r>
      <w:r w:rsidRPr="006B4FFB">
        <w:rPr>
          <w:rFonts w:ascii="Arial Black" w:hAnsi="Arial Black"/>
          <w:b/>
        </w:rPr>
        <w:t>a</w:t>
      </w:r>
      <w:r w:rsidRPr="006B4FFB">
        <w:rPr>
          <w:rFonts w:ascii="Arial Black" w:hAnsi="Arial Black"/>
        </w:rPr>
        <w:t xml:space="preserve"> </w:t>
      </w:r>
      <w:r>
        <w:t xml:space="preserve">for He and </w:t>
      </w:r>
      <w:proofErr w:type="spellStart"/>
      <w:r>
        <w:t>Xe</w:t>
      </w:r>
      <w:proofErr w:type="spellEnd"/>
      <w:r>
        <w:t xml:space="preserve"> derived from </w:t>
      </w:r>
      <w:r w:rsidRPr="00A0177A">
        <w:rPr>
          <w:b/>
          <w:u w:val="single"/>
        </w:rPr>
        <w:t>4a</w:t>
      </w:r>
      <w:r>
        <w:t xml:space="preserve"> and </w:t>
      </w:r>
      <w:r w:rsidRPr="00A0177A">
        <w:rPr>
          <w:b/>
          <w:u w:val="single"/>
        </w:rPr>
        <w:t>4b</w:t>
      </w:r>
      <w:r>
        <w:rPr>
          <w:b/>
        </w:rPr>
        <w:t xml:space="preserve">, </w:t>
      </w:r>
      <w:r w:rsidRPr="00A0177A">
        <w:t>along with</w:t>
      </w:r>
      <w:r>
        <w:t xml:space="preserve"> the computed versus observed values of the deviance, </w:t>
      </w:r>
      <w:r w:rsidRPr="00354A6C">
        <w:rPr>
          <w:b/>
        </w:rPr>
        <w:sym w:font="Symbol" w:char="F044"/>
      </w:r>
      <w:proofErr w:type="gramStart"/>
      <w:r w:rsidRPr="00354A6C">
        <w:rPr>
          <w:b/>
        </w:rPr>
        <w:t>P</w:t>
      </w:r>
      <w:r w:rsidR="007550CD">
        <w:rPr>
          <w:b/>
          <w:vertAlign w:val="subscript"/>
        </w:rPr>
        <w:t xml:space="preserve">T </w:t>
      </w:r>
      <w:r w:rsidR="00354A6C">
        <w:t xml:space="preserve"> </w:t>
      </w:r>
      <w:r>
        <w:t>shown</w:t>
      </w:r>
      <w:proofErr w:type="gramEnd"/>
      <w:r>
        <w:t xml:space="preserve"> in Figure 1 assuming the computed </w:t>
      </w:r>
      <w:r w:rsidRPr="006B4FFB">
        <w:rPr>
          <w:rFonts w:ascii="Arial Black" w:hAnsi="Arial Black"/>
          <w:b/>
        </w:rPr>
        <w:t>a</w:t>
      </w:r>
      <w:r w:rsidR="00BF6F16">
        <w:rPr>
          <w:b/>
        </w:rPr>
        <w:t xml:space="preserve"> </w:t>
      </w:r>
      <w:r w:rsidR="00BF6F16">
        <w:t xml:space="preserve"> with </w:t>
      </w:r>
      <w:r w:rsidR="00BF6F16" w:rsidRPr="00BF6F16">
        <w:rPr>
          <w:b/>
        </w:rPr>
        <w:t>V</w:t>
      </w:r>
      <w:r w:rsidR="00BF6F16">
        <w:t xml:space="preserve">=20.000 L and </w:t>
      </w:r>
      <w:r w:rsidR="00BF6F16" w:rsidRPr="00BF6F16">
        <w:rPr>
          <w:b/>
        </w:rPr>
        <w:t>n</w:t>
      </w:r>
      <w:r w:rsidR="00BF6F16">
        <w:t xml:space="preserve">=1.000 mol in </w:t>
      </w:r>
      <w:r w:rsidR="00BF6F16" w:rsidRPr="00BF6F16">
        <w:rPr>
          <w:b/>
          <w:u w:val="single"/>
        </w:rPr>
        <w:t>3</w:t>
      </w:r>
      <w:r w:rsidR="00BF6F16" w:rsidRPr="00BF6F16">
        <w:rPr>
          <w:b/>
        </w:rPr>
        <w:t>.</w:t>
      </w:r>
    </w:p>
    <w:p w:rsidR="009922D5" w:rsidRDefault="009922D5" w:rsidP="00C80D50">
      <w:pPr>
        <w:rPr>
          <w:b/>
        </w:rPr>
      </w:pPr>
    </w:p>
    <w:p w:rsidR="00354A6C" w:rsidRDefault="00354A6C" w:rsidP="000C2E01">
      <w:pPr>
        <w:spacing w:line="360" w:lineRule="auto"/>
      </w:pPr>
      <w:r w:rsidRPr="006B4FFB">
        <w:rPr>
          <w:b/>
        </w:rPr>
        <w:t>Table 5</w:t>
      </w:r>
      <w:r w:rsidR="00BF6F16" w:rsidRPr="006B4FFB">
        <w:rPr>
          <w:b/>
        </w:rPr>
        <w:t xml:space="preserve">:  Observed vs. Expected </w:t>
      </w:r>
      <w:r w:rsidR="00284F14">
        <w:rPr>
          <w:b/>
        </w:rPr>
        <w:t>van der Waals Interaction C</w:t>
      </w:r>
      <w:r w:rsidR="00BF6F16" w:rsidRPr="006B4FFB">
        <w:rPr>
          <w:b/>
        </w:rPr>
        <w:t xml:space="preserve">onstant </w:t>
      </w:r>
      <w:r w:rsidR="00BF6F16" w:rsidRPr="00284F14">
        <w:rPr>
          <w:rFonts w:ascii="Arial Black" w:hAnsi="Arial Black"/>
          <w:b/>
        </w:rPr>
        <w:t xml:space="preserve">a </w:t>
      </w:r>
      <w:r w:rsidR="00BF6F16" w:rsidRPr="006B4FFB">
        <w:rPr>
          <w:b/>
        </w:rPr>
        <w:t xml:space="preserve">and </w:t>
      </w:r>
      <w:r w:rsidR="00BF6F16" w:rsidRPr="006B4FFB">
        <w:rPr>
          <w:b/>
        </w:rPr>
        <w:sym w:font="Symbol" w:char="F044"/>
      </w:r>
      <w:r w:rsidR="00BF6F16" w:rsidRPr="006B4FFB">
        <w:rPr>
          <w:b/>
        </w:rPr>
        <w:t>P</w:t>
      </w:r>
      <w:r w:rsidR="00BF6F16" w:rsidRPr="006B4FFB">
        <w:rPr>
          <w:b/>
          <w:vertAlign w:val="subscript"/>
        </w:rPr>
        <w:t>1</w:t>
      </w:r>
      <w:r w:rsidR="00BF6F16" w:rsidRPr="006B4FFB">
        <w:rPr>
          <w:b/>
        </w:rPr>
        <w:t xml:space="preserve"> computed from</w:t>
      </w:r>
      <w:r w:rsidR="00BF6F16">
        <w:t xml:space="preserve"> </w:t>
      </w:r>
      <w:r w:rsidR="00BF6F16" w:rsidRPr="00BF6F16">
        <w:rPr>
          <w:b/>
          <w:u w:val="single"/>
        </w:rPr>
        <w:t>4a</w:t>
      </w:r>
      <w:r w:rsidR="00BF6F16" w:rsidRPr="006B4FFB">
        <w:rPr>
          <w:b/>
        </w:rPr>
        <w:t>,</w:t>
      </w:r>
      <w:r w:rsidR="006B4FFB">
        <w:rPr>
          <w:b/>
        </w:rPr>
        <w:t xml:space="preserve"> </w:t>
      </w:r>
      <w:r w:rsidR="006B4FFB">
        <w:rPr>
          <w:b/>
          <w:u w:val="single"/>
        </w:rPr>
        <w:t>4</w:t>
      </w:r>
      <w:r w:rsidR="00BF6F16" w:rsidRPr="00BF6F16">
        <w:rPr>
          <w:b/>
          <w:u w:val="single"/>
        </w:rPr>
        <w:t>b</w:t>
      </w:r>
      <w:r w:rsidR="00BF6F16">
        <w:t xml:space="preserve"> and </w:t>
      </w:r>
      <w:r w:rsidR="00BF6F16" w:rsidRPr="00BF6F16">
        <w:rPr>
          <w:b/>
          <w:u w:val="single"/>
        </w:rPr>
        <w:t>3</w:t>
      </w:r>
      <w:r w:rsidR="00BF6F16">
        <w:t xml:space="preserve"> </w:t>
      </w:r>
    </w:p>
    <w:p w:rsidR="00354A6C" w:rsidRPr="00BF6F16" w:rsidRDefault="00C54D2D" w:rsidP="00354A6C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34" type="#_x0000_t32" style="position:absolute;margin-left:242.25pt;margin-top:2.1pt;width:0;height:36.3pt;z-index:251664384" o:connectortype="straight"/>
        </w:pict>
      </w:r>
      <w:proofErr w:type="gramStart"/>
      <w:r w:rsidR="00BF6F16" w:rsidRPr="00BF6F16">
        <w:rPr>
          <w:b/>
          <w:u w:val="single"/>
        </w:rPr>
        <w:t>gas</w:t>
      </w:r>
      <w:proofErr w:type="gramEnd"/>
      <w:r w:rsidR="00354A6C" w:rsidRPr="00BF6F16">
        <w:rPr>
          <w:b/>
          <w:u w:val="single"/>
        </w:rPr>
        <w:tab/>
      </w:r>
      <w:r w:rsidR="00354A6C" w:rsidRPr="006B4FFB">
        <w:rPr>
          <w:rFonts w:ascii="Arial Black" w:hAnsi="Arial Black"/>
          <w:b/>
          <w:u w:val="single"/>
        </w:rPr>
        <w:t>a</w:t>
      </w:r>
      <w:r w:rsidR="00354A6C" w:rsidRPr="00BF6F16">
        <w:rPr>
          <w:b/>
          <w:u w:val="single"/>
        </w:rPr>
        <w:t xml:space="preserve">(from 4a)    </w:t>
      </w:r>
      <w:r w:rsidR="00354A6C" w:rsidRPr="00BF6F16">
        <w:rPr>
          <w:b/>
          <w:u w:val="single"/>
        </w:rPr>
        <w:tab/>
      </w:r>
      <w:r w:rsidR="00354A6C" w:rsidRPr="006B4FFB">
        <w:rPr>
          <w:rFonts w:ascii="Arial Black" w:hAnsi="Arial Black"/>
          <w:b/>
          <w:u w:val="single"/>
        </w:rPr>
        <w:t>a</w:t>
      </w:r>
      <w:r w:rsidR="00354A6C" w:rsidRPr="00BF6F16">
        <w:rPr>
          <w:b/>
          <w:u w:val="single"/>
        </w:rPr>
        <w:t>(from 4b)</w:t>
      </w:r>
      <w:r w:rsidR="00354A6C" w:rsidRPr="00BF6F16">
        <w:rPr>
          <w:b/>
          <w:u w:val="single"/>
        </w:rPr>
        <w:tab/>
      </w:r>
      <w:r w:rsidR="00354A6C" w:rsidRPr="006B4FFB">
        <w:rPr>
          <w:rFonts w:ascii="Arial Black" w:hAnsi="Arial Black"/>
          <w:b/>
          <w:u w:val="single"/>
        </w:rPr>
        <w:t>a</w:t>
      </w:r>
      <w:r w:rsidR="00354A6C" w:rsidRPr="00BF6F16">
        <w:rPr>
          <w:b/>
          <w:u w:val="single"/>
        </w:rPr>
        <w:t>(accepted)</w:t>
      </w:r>
      <w:r w:rsidR="009922D5">
        <w:rPr>
          <w:b/>
          <w:u w:val="single"/>
          <w:vertAlign w:val="superscript"/>
        </w:rPr>
        <w:t>3</w:t>
      </w:r>
      <w:r w:rsidR="00354A6C" w:rsidRPr="00BF6F16">
        <w:rPr>
          <w:b/>
          <w:u w:val="single"/>
        </w:rPr>
        <w:tab/>
      </w:r>
      <w:r w:rsidR="00BF6F16" w:rsidRPr="00BF6F16">
        <w:rPr>
          <w:b/>
          <w:u w:val="single"/>
        </w:rPr>
        <w:sym w:font="Symbol" w:char="F044"/>
      </w:r>
      <w:r w:rsidR="00BF6F16" w:rsidRPr="00BF6F16">
        <w:rPr>
          <w:b/>
          <w:u w:val="single"/>
        </w:rPr>
        <w:t>P</w:t>
      </w:r>
      <w:r w:rsidR="007550CD">
        <w:rPr>
          <w:b/>
          <w:u w:val="single"/>
          <w:vertAlign w:val="subscript"/>
        </w:rPr>
        <w:t>T</w:t>
      </w:r>
      <w:r w:rsidR="007550CD">
        <w:rPr>
          <w:b/>
          <w:u w:val="single"/>
        </w:rPr>
        <w:t xml:space="preserve"> </w:t>
      </w:r>
      <w:r w:rsidR="00BF6F16" w:rsidRPr="00BF6F16">
        <w:rPr>
          <w:b/>
          <w:u w:val="single"/>
        </w:rPr>
        <w:t>(computed)</w:t>
      </w:r>
      <w:r w:rsidR="00BF6F16" w:rsidRPr="00BF6F16">
        <w:rPr>
          <w:b/>
          <w:u w:val="single"/>
        </w:rPr>
        <w:tab/>
      </w:r>
      <w:r w:rsidR="00BF6F16">
        <w:rPr>
          <w:b/>
          <w:u w:val="single"/>
        </w:rPr>
        <w:t xml:space="preserve">          </w:t>
      </w:r>
      <w:r w:rsidR="00BF6F16" w:rsidRPr="00BF6F16">
        <w:rPr>
          <w:b/>
          <w:u w:val="single"/>
        </w:rPr>
        <w:sym w:font="Symbol" w:char="F044"/>
      </w:r>
      <w:r w:rsidR="00BF6F16" w:rsidRPr="00BF6F16">
        <w:rPr>
          <w:b/>
          <w:u w:val="single"/>
        </w:rPr>
        <w:t>P</w:t>
      </w:r>
      <w:r w:rsidR="007550CD">
        <w:rPr>
          <w:b/>
          <w:u w:val="single"/>
          <w:vertAlign w:val="subscript"/>
        </w:rPr>
        <w:t>T</w:t>
      </w:r>
      <w:r w:rsidR="00BF6F16" w:rsidRPr="00BF6F16">
        <w:rPr>
          <w:b/>
          <w:u w:val="single"/>
        </w:rPr>
        <w:t>(observed)</w:t>
      </w:r>
    </w:p>
    <w:p w:rsidR="00354A6C" w:rsidRPr="00BF6F16" w:rsidRDefault="00354A6C" w:rsidP="00354A6C">
      <w:pPr>
        <w:rPr>
          <w:u w:val="single"/>
          <w:vertAlign w:val="superscript"/>
        </w:rPr>
      </w:pPr>
      <w:r w:rsidRPr="00BF6F16">
        <w:rPr>
          <w:u w:val="single"/>
        </w:rPr>
        <w:t>He</w:t>
      </w:r>
      <w:r w:rsidRPr="00BF6F16">
        <w:rPr>
          <w:u w:val="single"/>
        </w:rPr>
        <w:tab/>
        <w:t>0.034</w:t>
      </w:r>
      <w:r w:rsidRPr="00BF6F16">
        <w:rPr>
          <w:u w:val="single"/>
        </w:rPr>
        <w:tab/>
      </w:r>
      <w:r w:rsidRPr="00BF6F16">
        <w:rPr>
          <w:u w:val="single"/>
        </w:rPr>
        <w:tab/>
        <w:t>0.034</w:t>
      </w:r>
      <w:r w:rsidR="00BF6F16" w:rsidRPr="00BF6F16">
        <w:rPr>
          <w:u w:val="single"/>
        </w:rPr>
        <w:tab/>
      </w:r>
      <w:r w:rsidR="00BF6F16" w:rsidRPr="00BF6F16">
        <w:rPr>
          <w:u w:val="single"/>
        </w:rPr>
        <w:tab/>
        <w:t>0.034</w:t>
      </w:r>
      <w:r w:rsidR="00BF6F16" w:rsidRPr="00BF6F16">
        <w:rPr>
          <w:u w:val="single"/>
        </w:rPr>
        <w:tab/>
      </w:r>
      <w:r w:rsidR="00BF6F16" w:rsidRPr="00BF6F16">
        <w:rPr>
          <w:u w:val="single"/>
        </w:rPr>
        <w:tab/>
        <w:t>8.50*10</w:t>
      </w:r>
      <w:r w:rsidR="00BF6F16" w:rsidRPr="00BF6F16">
        <w:rPr>
          <w:u w:val="single"/>
          <w:vertAlign w:val="superscript"/>
        </w:rPr>
        <w:t>-5</w:t>
      </w:r>
      <w:r w:rsidR="00BF6F16" w:rsidRPr="00BF6F16">
        <w:rPr>
          <w:u w:val="single"/>
          <w:vertAlign w:val="superscript"/>
        </w:rPr>
        <w:tab/>
      </w:r>
      <w:r w:rsidR="00BF6F16" w:rsidRPr="00BF6F16">
        <w:rPr>
          <w:u w:val="single"/>
        </w:rPr>
        <w:tab/>
        <w:t>1.00*10</w:t>
      </w:r>
      <w:r w:rsidR="00BF6F16" w:rsidRPr="00BF6F16">
        <w:rPr>
          <w:u w:val="single"/>
          <w:vertAlign w:val="superscript"/>
        </w:rPr>
        <w:t>-4</w:t>
      </w:r>
    </w:p>
    <w:p w:rsidR="00354A6C" w:rsidRPr="00BF6F16" w:rsidRDefault="00354A6C" w:rsidP="00354A6C">
      <w:pPr>
        <w:rPr>
          <w:vertAlign w:val="superscript"/>
        </w:rPr>
      </w:pPr>
      <w:proofErr w:type="spellStart"/>
      <w:r>
        <w:t>Xe</w:t>
      </w:r>
      <w:proofErr w:type="spellEnd"/>
      <w:r>
        <w:tab/>
        <w:t>4.25</w:t>
      </w:r>
      <w:r>
        <w:tab/>
      </w:r>
      <w:r>
        <w:tab/>
        <w:t>4.25</w:t>
      </w:r>
      <w:r w:rsidR="00BF6F16">
        <w:tab/>
      </w:r>
      <w:r w:rsidR="00BF6F16">
        <w:tab/>
        <w:t>4.25</w:t>
      </w:r>
      <w:r w:rsidR="00BF6F16">
        <w:tab/>
      </w:r>
      <w:r w:rsidR="00BF6F16">
        <w:tab/>
        <w:t>1.06*10</w:t>
      </w:r>
      <w:r w:rsidR="00BF6F16">
        <w:rPr>
          <w:vertAlign w:val="superscript"/>
        </w:rPr>
        <w:t>-2</w:t>
      </w:r>
      <w:r w:rsidR="00BF6F16">
        <w:tab/>
      </w:r>
      <w:r w:rsidR="00BF6F16">
        <w:tab/>
        <w:t>1.07*10</w:t>
      </w:r>
      <w:r w:rsidR="00BF6F16">
        <w:rPr>
          <w:vertAlign w:val="superscript"/>
        </w:rPr>
        <w:t>-2</w:t>
      </w:r>
    </w:p>
    <w:p w:rsidR="00BF6F16" w:rsidRDefault="00BF6F16" w:rsidP="00354A6C">
      <w:r>
        <w:tab/>
        <w:t xml:space="preserve">      </w:t>
      </w:r>
      <w:proofErr w:type="gramStart"/>
      <w:r>
        <w:t>units</w:t>
      </w:r>
      <w:proofErr w:type="gramEnd"/>
      <w:r>
        <w:t xml:space="preserve"> in (</w:t>
      </w:r>
      <w:proofErr w:type="spellStart"/>
      <w:r>
        <w:t>atm</w:t>
      </w:r>
      <w:proofErr w:type="spellEnd"/>
      <w:r>
        <w:t xml:space="preserve"> L</w:t>
      </w:r>
      <w:r>
        <w:rPr>
          <w:vertAlign w:val="superscript"/>
        </w:rPr>
        <w:t>2</w:t>
      </w:r>
      <w:r>
        <w:t xml:space="preserve"> mol</w:t>
      </w:r>
      <w:r>
        <w:rPr>
          <w:vertAlign w:val="superscript"/>
        </w:rPr>
        <w:t>-2</w:t>
      </w:r>
      <w:r>
        <w:t>)</w:t>
      </w:r>
      <w:r>
        <w:tab/>
      </w:r>
      <w:r>
        <w:tab/>
      </w:r>
      <w:r>
        <w:tab/>
      </w:r>
      <w:r>
        <w:tab/>
        <w:t xml:space="preserve">units in </w:t>
      </w:r>
      <w:proofErr w:type="spellStart"/>
      <w:r>
        <w:t>atm</w:t>
      </w:r>
      <w:proofErr w:type="spellEnd"/>
      <w:r w:rsidR="0033316C">
        <w:tab/>
        <w:t xml:space="preserve">     (485</w:t>
      </w:r>
      <w:r w:rsidR="007550CD">
        <w:t xml:space="preserve"> words &amp; no.)</w:t>
      </w:r>
      <w:r w:rsidR="007550CD">
        <w:tab/>
      </w:r>
    </w:p>
    <w:p w:rsidR="00284F14" w:rsidRDefault="00284F14" w:rsidP="00284F14">
      <w:pPr>
        <w:ind w:left="5760" w:firstLine="720"/>
      </w:pPr>
    </w:p>
    <w:p w:rsidR="00284F14" w:rsidRPr="00B36194" w:rsidRDefault="00284F14" w:rsidP="00284F14">
      <w:pPr>
        <w:rPr>
          <w:b/>
          <w:sz w:val="24"/>
          <w:szCs w:val="24"/>
        </w:rPr>
      </w:pPr>
      <w:r w:rsidRPr="00B36194">
        <w:rPr>
          <w:b/>
          <w:sz w:val="24"/>
          <w:szCs w:val="24"/>
        </w:rPr>
        <w:t>Discussion</w:t>
      </w:r>
    </w:p>
    <w:p w:rsidR="00284F14" w:rsidRDefault="00284F14" w:rsidP="00284F14">
      <w:pPr>
        <w:rPr>
          <w:b/>
        </w:rPr>
      </w:pPr>
    </w:p>
    <w:p w:rsidR="00C630A8" w:rsidRDefault="00DF17FD" w:rsidP="00BB1006">
      <w:pPr>
        <w:spacing w:line="360" w:lineRule="auto"/>
      </w:pPr>
      <w:r w:rsidRPr="00C630A8">
        <w:t xml:space="preserve">The </w:t>
      </w:r>
      <w:r w:rsidR="00C630A8">
        <w:t xml:space="preserve">van der Waals </w:t>
      </w:r>
      <w:r w:rsidRPr="00C630A8">
        <w:t xml:space="preserve">interaction term </w:t>
      </w:r>
      <w:r w:rsidRPr="00C630A8">
        <w:rPr>
          <w:rFonts w:ascii="Arial Black" w:hAnsi="Arial Black"/>
        </w:rPr>
        <w:t>a</w:t>
      </w:r>
      <w:r w:rsidR="00C630A8" w:rsidRPr="00C630A8">
        <w:t xml:space="preserve"> is a</w:t>
      </w:r>
      <w:r w:rsidR="00C630A8">
        <w:t>n</w:t>
      </w:r>
      <w:r w:rsidR="00C630A8" w:rsidRPr="00C630A8">
        <w:t xml:space="preserve"> empirically derived macroscopic constant that reflects</w:t>
      </w:r>
      <w:r w:rsidRPr="00C630A8">
        <w:t xml:space="preserve"> the degree to which </w:t>
      </w:r>
      <w:r w:rsidR="009B1D4B">
        <w:t xml:space="preserve">a specific gas’s </w:t>
      </w:r>
      <w:r w:rsidRPr="00C630A8">
        <w:t>intermolecul</w:t>
      </w:r>
      <w:r w:rsidR="00584BCA">
        <w:t xml:space="preserve">ar attraction </w:t>
      </w:r>
      <w:r w:rsidR="009B1D4B">
        <w:t xml:space="preserve">to itself </w:t>
      </w:r>
      <w:r w:rsidR="00584BCA">
        <w:t>decreases</w:t>
      </w:r>
      <w:r w:rsidRPr="00C630A8">
        <w:t xml:space="preserve"> the velocity of</w:t>
      </w:r>
      <w:r w:rsidR="00C165C0">
        <w:t xml:space="preserve"> </w:t>
      </w:r>
      <w:proofErr w:type="gramStart"/>
      <w:r w:rsidR="00C165C0">
        <w:t>its</w:t>
      </w:r>
      <w:proofErr w:type="gramEnd"/>
      <w:r w:rsidR="00C165C0">
        <w:t xml:space="preserve">’ </w:t>
      </w:r>
      <w:r w:rsidRPr="00C630A8">
        <w:t xml:space="preserve">gas molecules as </w:t>
      </w:r>
      <w:r w:rsidR="009B1D4B">
        <w:t>it</w:t>
      </w:r>
      <w:r w:rsidRPr="00C630A8">
        <w:t xml:space="preserve"> approach</w:t>
      </w:r>
      <w:r w:rsidR="009B1D4B">
        <w:t>es</w:t>
      </w:r>
      <w:r w:rsidRPr="00C630A8">
        <w:t xml:space="preserve"> the wall</w:t>
      </w:r>
      <w:r w:rsidR="00B4556B">
        <w:t>s</w:t>
      </w:r>
      <w:r w:rsidRPr="00C630A8">
        <w:t xml:space="preserve"> of the volume </w:t>
      </w:r>
      <w:r w:rsidR="00C165C0">
        <w:t>they are</w:t>
      </w:r>
      <w:r w:rsidRPr="00C630A8">
        <w:t xml:space="preserve"> contai</w:t>
      </w:r>
      <w:r w:rsidR="00106AAA">
        <w:t>ned</w:t>
      </w:r>
      <w:r w:rsidR="00584BCA">
        <w:t xml:space="preserve"> in</w:t>
      </w:r>
      <w:r w:rsidR="00BB1006">
        <w:t xml:space="preserve">.  </w:t>
      </w:r>
      <w:bookmarkStart w:id="0" w:name="_GoBack"/>
      <w:bookmarkEnd w:id="0"/>
      <w:r w:rsidR="00F95107">
        <w:t>Such a</w:t>
      </w:r>
      <w:r w:rsidR="00BB1006">
        <w:t xml:space="preserve">ttraction has the </w:t>
      </w:r>
      <w:r w:rsidR="00584BCA">
        <w:t>effect</w:t>
      </w:r>
      <w:r w:rsidR="00D06FE1">
        <w:t xml:space="preserve"> of lowering</w:t>
      </w:r>
      <w:r w:rsidR="00584BCA">
        <w:t xml:space="preserve"> the observed pressure </w:t>
      </w:r>
      <w:r w:rsidR="00D06FE1">
        <w:t>from</w:t>
      </w:r>
      <w:r w:rsidR="00584BCA">
        <w:t xml:space="preserve"> that predicted by the Ideal Gas Law where no </w:t>
      </w:r>
      <w:r w:rsidR="00B4556B">
        <w:t xml:space="preserve">velocity </w:t>
      </w:r>
      <w:r w:rsidR="009922D5">
        <w:t xml:space="preserve">damping </w:t>
      </w:r>
      <w:r w:rsidR="00584BCA">
        <w:t>interactions are assumed.  In an intuitive and strictly</w:t>
      </w:r>
      <w:r w:rsidR="00C630A8">
        <w:t xml:space="preserve"> qualitative s</w:t>
      </w:r>
      <w:r w:rsidR="00106AAA">
        <w:t xml:space="preserve">ense, </w:t>
      </w:r>
      <w:r w:rsidR="00584BCA" w:rsidRPr="00584BCA">
        <w:rPr>
          <w:rFonts w:ascii="Arial Black" w:hAnsi="Arial Black"/>
        </w:rPr>
        <w:t>a</w:t>
      </w:r>
      <w:r w:rsidR="00DA431A">
        <w:t xml:space="preserve"> is akin </w:t>
      </w:r>
      <w:proofErr w:type="gramStart"/>
      <w:r w:rsidR="00DA431A">
        <w:t>to</w:t>
      </w:r>
      <w:r w:rsidR="00C630A8">
        <w:t xml:space="preserve"> </w:t>
      </w:r>
      <w:r w:rsidR="00106AAA">
        <w:t xml:space="preserve"> </w:t>
      </w:r>
      <w:r w:rsidR="00106AAA" w:rsidRPr="007550CD">
        <w:rPr>
          <w:rFonts w:ascii="Arial Black" w:hAnsi="Arial Black"/>
          <w:b/>
        </w:rPr>
        <w:t>k</w:t>
      </w:r>
      <w:proofErr w:type="gramEnd"/>
      <w:r w:rsidR="00106AAA" w:rsidRPr="00106AAA">
        <w:rPr>
          <w:b/>
        </w:rPr>
        <w:t xml:space="preserve"> </w:t>
      </w:r>
      <w:r w:rsidR="00C630A8">
        <w:t>in Coulomb’s equation</w:t>
      </w:r>
      <w:r w:rsidR="00106AAA">
        <w:t>:</w:t>
      </w:r>
      <w:r w:rsidR="00C630A8">
        <w:t xml:space="preserve"> </w:t>
      </w:r>
    </w:p>
    <w:p w:rsidR="00C630A8" w:rsidRDefault="00C630A8" w:rsidP="00C80D50"/>
    <w:p w:rsidR="00C630A8" w:rsidRPr="00C630A8" w:rsidRDefault="00C630A8" w:rsidP="00BB1006">
      <w:pPr>
        <w:rPr>
          <w:b/>
        </w:rPr>
      </w:pPr>
      <w:r w:rsidRPr="00106AAA">
        <w:rPr>
          <w:b/>
          <w:u w:val="single"/>
        </w:rPr>
        <w:t>5</w:t>
      </w:r>
      <w:r>
        <w:tab/>
      </w:r>
      <w:r>
        <w:tab/>
      </w:r>
      <w:r>
        <w:tab/>
      </w:r>
      <w:r w:rsidR="003B67A2">
        <w:tab/>
      </w:r>
      <w:r w:rsidR="00106AAA">
        <w:rPr>
          <w:b/>
        </w:rPr>
        <w:t xml:space="preserve"> F</w:t>
      </w:r>
      <w:r w:rsidRPr="00C630A8">
        <w:rPr>
          <w:b/>
        </w:rPr>
        <w:t xml:space="preserve">= </w:t>
      </w:r>
      <w:r w:rsidR="00DF17FD" w:rsidRPr="00C630A8">
        <w:rPr>
          <w:b/>
        </w:rPr>
        <w:t xml:space="preserve"> </w:t>
      </w:r>
      <w:r w:rsidR="00106AAA">
        <w:rPr>
          <w:b/>
        </w:rPr>
        <w:t xml:space="preserve">  </w:t>
      </w:r>
      <w:r w:rsidR="00106AAA">
        <w:rPr>
          <w:b/>
          <w:u w:val="single"/>
        </w:rPr>
        <w:t xml:space="preserve">  </w:t>
      </w:r>
      <w:r w:rsidR="00106AAA" w:rsidRPr="008A1958">
        <w:rPr>
          <w:rFonts w:ascii="Arial Black" w:hAnsi="Arial Black"/>
          <w:b/>
          <w:u w:val="single"/>
        </w:rPr>
        <w:t>k</w:t>
      </w:r>
      <w:r w:rsidR="00106AAA">
        <w:rPr>
          <w:b/>
          <w:u w:val="single"/>
        </w:rPr>
        <w:t xml:space="preserve"> </w:t>
      </w:r>
      <w:r w:rsidRPr="00C630A8">
        <w:rPr>
          <w:b/>
          <w:u w:val="single"/>
        </w:rPr>
        <w:t>q</w:t>
      </w:r>
      <w:r w:rsidRPr="00C630A8">
        <w:rPr>
          <w:b/>
          <w:u w:val="single"/>
          <w:vertAlign w:val="subscript"/>
        </w:rPr>
        <w:t>1</w:t>
      </w:r>
      <w:r w:rsidRPr="00C630A8">
        <w:rPr>
          <w:b/>
          <w:u w:val="single"/>
        </w:rPr>
        <w:t>q</w:t>
      </w:r>
      <w:r w:rsidRPr="00C630A8">
        <w:rPr>
          <w:b/>
          <w:u w:val="single"/>
        </w:rPr>
        <w:softHyphen/>
      </w:r>
      <w:r w:rsidRPr="00C630A8">
        <w:rPr>
          <w:b/>
          <w:u w:val="single"/>
          <w:vertAlign w:val="subscript"/>
        </w:rPr>
        <w:t>2</w:t>
      </w:r>
      <w:r w:rsidRPr="00C630A8">
        <w:rPr>
          <w:b/>
          <w:vertAlign w:val="subscript"/>
        </w:rPr>
        <w:t xml:space="preserve"> </w:t>
      </w:r>
      <w:r w:rsidR="00106AAA">
        <w:rPr>
          <w:b/>
          <w:vertAlign w:val="subscript"/>
        </w:rPr>
        <w:t xml:space="preserve">  </w:t>
      </w:r>
    </w:p>
    <w:p w:rsidR="00C630A8" w:rsidRPr="00C630A8" w:rsidRDefault="00C630A8" w:rsidP="003B67A2">
      <w:pPr>
        <w:ind w:left="2880" w:firstLine="720"/>
        <w:rPr>
          <w:b/>
          <w:vertAlign w:val="subscript"/>
        </w:rPr>
      </w:pPr>
      <w:r w:rsidRPr="00C630A8">
        <w:rPr>
          <w:b/>
        </w:rPr>
        <w:t>r</w:t>
      </w:r>
      <w:r w:rsidRPr="00C630A8">
        <w:rPr>
          <w:b/>
          <w:vertAlign w:val="superscript"/>
        </w:rPr>
        <w:t>2</w:t>
      </w:r>
      <w:r w:rsidRPr="00C630A8">
        <w:rPr>
          <w:b/>
          <w:vertAlign w:val="subscript"/>
        </w:rPr>
        <w:t xml:space="preserve"> </w:t>
      </w:r>
    </w:p>
    <w:p w:rsidR="00C630A8" w:rsidRDefault="003B67A2" w:rsidP="00C80D50">
      <w:pPr>
        <w:spacing w:line="276" w:lineRule="auto"/>
        <w:rPr>
          <w:vertAlign w:val="subscript"/>
        </w:rPr>
      </w:pPr>
      <w:r>
        <w:rPr>
          <w:vertAlign w:val="subscript"/>
        </w:rPr>
        <w:tab/>
      </w:r>
    </w:p>
    <w:p w:rsidR="00284F14" w:rsidRDefault="00BB1006" w:rsidP="00BB1006">
      <w:pPr>
        <w:spacing w:line="360" w:lineRule="auto"/>
      </w:pPr>
      <w:r>
        <w:t xml:space="preserve"> L</w:t>
      </w:r>
      <w:r w:rsidR="00C630A8">
        <w:t xml:space="preserve">ike </w:t>
      </w:r>
      <w:r w:rsidR="00106AAA" w:rsidRPr="008A1958">
        <w:rPr>
          <w:rFonts w:ascii="Arial Black" w:hAnsi="Arial Black"/>
          <w:b/>
        </w:rPr>
        <w:t>k</w:t>
      </w:r>
      <w:r w:rsidR="00C630A8">
        <w:t xml:space="preserve">, </w:t>
      </w:r>
      <w:r w:rsidR="00C630A8">
        <w:rPr>
          <w:vertAlign w:val="subscript"/>
        </w:rPr>
        <w:t xml:space="preserve"> </w:t>
      </w:r>
      <w:r w:rsidR="00C630A8">
        <w:t xml:space="preserve">which </w:t>
      </w:r>
      <w:r w:rsidR="008A1958">
        <w:t>quantitatively characterizes</w:t>
      </w:r>
      <w:r w:rsidR="00C630A8">
        <w:t xml:space="preserve"> the </w:t>
      </w:r>
      <w:r w:rsidR="004B5787">
        <w:t xml:space="preserve">absolute </w:t>
      </w:r>
      <w:r w:rsidR="00C630A8">
        <w:t xml:space="preserve">magnitude of the interaction of two charges </w:t>
      </w:r>
      <w:r w:rsidR="00584BCA" w:rsidRPr="00584BCA">
        <w:rPr>
          <w:b/>
        </w:rPr>
        <w:t>q</w:t>
      </w:r>
      <w:r w:rsidR="00584BCA" w:rsidRPr="00584BCA">
        <w:rPr>
          <w:b/>
          <w:vertAlign w:val="subscript"/>
        </w:rPr>
        <w:t>1</w:t>
      </w:r>
      <w:r w:rsidR="00584BCA" w:rsidRPr="00584BCA">
        <w:rPr>
          <w:b/>
        </w:rPr>
        <w:t xml:space="preserve"> </w:t>
      </w:r>
      <w:r w:rsidR="00584BCA">
        <w:t xml:space="preserve">and </w:t>
      </w:r>
      <w:r w:rsidR="00584BCA" w:rsidRPr="00584BCA">
        <w:rPr>
          <w:b/>
        </w:rPr>
        <w:t>q</w:t>
      </w:r>
      <w:r w:rsidR="00584BCA" w:rsidRPr="00584BCA">
        <w:rPr>
          <w:b/>
          <w:vertAlign w:val="subscript"/>
        </w:rPr>
        <w:t>2</w:t>
      </w:r>
      <w:r w:rsidR="00584BCA">
        <w:t xml:space="preserve"> </w:t>
      </w:r>
      <w:r w:rsidR="00C630A8">
        <w:t xml:space="preserve">at a distance </w:t>
      </w:r>
      <w:r w:rsidR="00C630A8" w:rsidRPr="00C80D50">
        <w:rPr>
          <w:b/>
        </w:rPr>
        <w:t>r</w:t>
      </w:r>
      <w:r w:rsidR="00C630A8">
        <w:t xml:space="preserve">, </w:t>
      </w:r>
      <w:r w:rsidR="00C630A8" w:rsidRPr="00C630A8">
        <w:rPr>
          <w:rFonts w:ascii="Arial Black" w:hAnsi="Arial Black"/>
        </w:rPr>
        <w:t>a</w:t>
      </w:r>
      <w:r w:rsidR="00106AAA">
        <w:t xml:space="preserve"> </w:t>
      </w:r>
      <w:r w:rsidR="00C630A8">
        <w:t xml:space="preserve"> scal</w:t>
      </w:r>
      <w:r w:rsidR="00106AAA">
        <w:t>es</w:t>
      </w:r>
      <w:r w:rsidR="00C630A8">
        <w:t xml:space="preserve"> the attractive interaction between t</w:t>
      </w:r>
      <w:r w:rsidR="00106AAA">
        <w:t>wo hypothetic gas densities</w:t>
      </w:r>
      <w:r w:rsidR="00584BCA">
        <w:t xml:space="preserve"> </w:t>
      </w:r>
      <w:r w:rsidRPr="00BB1006">
        <w:rPr>
          <w:b/>
        </w:rPr>
        <w:t>d</w:t>
      </w:r>
      <w:r w:rsidRPr="00BB1006">
        <w:rPr>
          <w:b/>
          <w:vertAlign w:val="subscript"/>
        </w:rPr>
        <w:t>1</w:t>
      </w:r>
      <w:r>
        <w:t>=</w:t>
      </w:r>
      <w:r w:rsidRPr="00D06FE1">
        <w:rPr>
          <w:b/>
        </w:rPr>
        <w:t>n</w:t>
      </w:r>
      <w:r w:rsidRPr="00D06FE1">
        <w:rPr>
          <w:b/>
          <w:vertAlign w:val="subscript"/>
        </w:rPr>
        <w:t>1</w:t>
      </w:r>
      <w:r>
        <w:t>/</w:t>
      </w:r>
      <w:r w:rsidRPr="00BB1006">
        <w:rPr>
          <w:b/>
        </w:rPr>
        <w:t>V</w:t>
      </w:r>
      <w:r>
        <w:t xml:space="preserve"> and </w:t>
      </w:r>
      <w:r w:rsidRPr="00BB1006">
        <w:rPr>
          <w:b/>
        </w:rPr>
        <w:t>d</w:t>
      </w:r>
      <w:r w:rsidRPr="00BB1006">
        <w:rPr>
          <w:b/>
          <w:vertAlign w:val="subscript"/>
        </w:rPr>
        <w:t>2</w:t>
      </w:r>
      <w:r>
        <w:rPr>
          <w:b/>
        </w:rPr>
        <w:t>=n</w:t>
      </w:r>
      <w:r>
        <w:rPr>
          <w:b/>
          <w:vertAlign w:val="subscript"/>
        </w:rPr>
        <w:t>2</w:t>
      </w:r>
      <w:r>
        <w:rPr>
          <w:b/>
        </w:rPr>
        <w:t>/V</w:t>
      </w:r>
      <w:r>
        <w:t xml:space="preserve"> </w:t>
      </w:r>
      <w:r w:rsidR="00584BCA">
        <w:t xml:space="preserve"> </w:t>
      </w:r>
      <w:r>
        <w:t xml:space="preserve">as measured by the </w:t>
      </w:r>
      <w:r w:rsidR="00584BCA">
        <w:t xml:space="preserve">increase in pressure, </w:t>
      </w:r>
      <w:r w:rsidR="00584BCA" w:rsidRPr="00BB1006">
        <w:rPr>
          <w:b/>
        </w:rPr>
        <w:sym w:font="Symbol" w:char="F044"/>
      </w:r>
      <w:r w:rsidR="00584BCA" w:rsidRPr="00BB1006">
        <w:rPr>
          <w:b/>
        </w:rPr>
        <w:t>P</w:t>
      </w:r>
      <w:r w:rsidR="00584BCA">
        <w:t xml:space="preserve">, a gas would attain if no </w:t>
      </w:r>
      <w:r w:rsidR="00333BF2">
        <w:t xml:space="preserve">such </w:t>
      </w:r>
      <w:r>
        <w:t xml:space="preserve">velocity-dampening </w:t>
      </w:r>
      <w:r w:rsidR="00584BCA">
        <w:t>attraction occurred</w:t>
      </w:r>
      <w:r>
        <w:t>:</w:t>
      </w:r>
    </w:p>
    <w:p w:rsidR="00106AAA" w:rsidRPr="00584BCA" w:rsidRDefault="00106AAA" w:rsidP="00BB1006">
      <w:r w:rsidRPr="00106AAA">
        <w:rPr>
          <w:b/>
          <w:u w:val="single"/>
        </w:rPr>
        <w:t>6</w:t>
      </w:r>
      <w:r>
        <w:tab/>
      </w:r>
      <w:r>
        <w:tab/>
      </w:r>
      <w:r w:rsidR="009922D5">
        <w:tab/>
      </w:r>
      <w:r>
        <w:tab/>
      </w:r>
      <w:r w:rsidRPr="00584BCA">
        <w:rPr>
          <w:b/>
        </w:rPr>
        <w:sym w:font="Symbol" w:char="F044"/>
      </w:r>
      <w:r w:rsidRPr="00584BCA">
        <w:rPr>
          <w:b/>
        </w:rPr>
        <w:t>P</w:t>
      </w:r>
      <w:r>
        <w:t xml:space="preserve"> = </w:t>
      </w:r>
      <w:r w:rsidRPr="00106AAA">
        <w:rPr>
          <w:rFonts w:ascii="Arial Black" w:hAnsi="Arial Black"/>
        </w:rPr>
        <w:t>a</w:t>
      </w:r>
      <w:r>
        <w:t xml:space="preserve"> d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2</w:t>
      </w:r>
      <w:r>
        <w:t xml:space="preserve"> </w:t>
      </w:r>
      <w:r w:rsidR="00BB1006">
        <w:t xml:space="preserve">= </w:t>
      </w:r>
      <w:r w:rsidR="00584BCA" w:rsidRPr="00584BCA">
        <w:rPr>
          <w:rFonts w:ascii="Arial Black" w:hAnsi="Arial Black"/>
          <w:b/>
          <w:u w:val="single"/>
        </w:rPr>
        <w:t xml:space="preserve">a </w:t>
      </w:r>
      <w:r w:rsidR="00584BCA" w:rsidRPr="00584BCA">
        <w:rPr>
          <w:b/>
          <w:u w:val="single"/>
        </w:rPr>
        <w:t>n</w:t>
      </w:r>
      <w:r w:rsidR="00584BCA" w:rsidRPr="00584BCA">
        <w:rPr>
          <w:b/>
          <w:u w:val="single"/>
          <w:vertAlign w:val="subscript"/>
        </w:rPr>
        <w:t>1</w:t>
      </w:r>
      <w:r w:rsidR="00584BCA" w:rsidRPr="00584BCA">
        <w:rPr>
          <w:b/>
          <w:u w:val="single"/>
        </w:rPr>
        <w:t xml:space="preserve"> n</w:t>
      </w:r>
      <w:r w:rsidR="00584BCA" w:rsidRPr="00584BCA">
        <w:rPr>
          <w:b/>
          <w:u w:val="single"/>
          <w:vertAlign w:val="subscript"/>
        </w:rPr>
        <w:t>2</w:t>
      </w:r>
    </w:p>
    <w:p w:rsidR="00106AAA" w:rsidRPr="00584BCA" w:rsidRDefault="00584BCA" w:rsidP="00BB1006">
      <w:pPr>
        <w:rPr>
          <w:b/>
        </w:rPr>
      </w:pPr>
      <w:r>
        <w:tab/>
      </w:r>
      <w:r>
        <w:tab/>
      </w:r>
      <w:r>
        <w:tab/>
      </w:r>
      <w:r w:rsidR="009922D5">
        <w:tab/>
      </w:r>
      <w:r>
        <w:tab/>
      </w:r>
      <w:r w:rsidRPr="00584BCA">
        <w:rPr>
          <w:b/>
        </w:rPr>
        <w:tab/>
        <w:t xml:space="preserve">   V</w:t>
      </w:r>
      <w:r w:rsidRPr="00584BCA">
        <w:rPr>
          <w:b/>
          <w:vertAlign w:val="superscript"/>
        </w:rPr>
        <w:t>2</w:t>
      </w:r>
      <w:r w:rsidRPr="00584BCA">
        <w:rPr>
          <w:b/>
        </w:rPr>
        <w:t xml:space="preserve">     </w:t>
      </w:r>
    </w:p>
    <w:p w:rsidR="00BB1006" w:rsidRDefault="00BB1006" w:rsidP="00BB1006"/>
    <w:p w:rsidR="00BB1006" w:rsidRDefault="00B42CF9" w:rsidP="00BB1006">
      <w:pPr>
        <w:spacing w:line="360" w:lineRule="auto"/>
      </w:pPr>
      <w:r>
        <w:t>S</w:t>
      </w:r>
      <w:r w:rsidR="00106AAA">
        <w:t>ince we are interested in the interacti</w:t>
      </w:r>
      <w:r w:rsidR="003B67A2">
        <w:t>on between identical densities</w:t>
      </w:r>
      <w:r w:rsidR="00106AAA">
        <w:t xml:space="preserve"> of a single gas</w:t>
      </w:r>
      <w:r w:rsidR="003B67A2">
        <w:t xml:space="preserve">, </w:t>
      </w:r>
      <w:r w:rsidR="003B67A2" w:rsidRPr="003B67A2">
        <w:rPr>
          <w:b/>
        </w:rPr>
        <w:t>d</w:t>
      </w:r>
      <w:r w:rsidR="003B67A2">
        <w:t>=</w:t>
      </w:r>
      <w:r w:rsidR="00584BCA">
        <w:t xml:space="preserve"> </w:t>
      </w:r>
      <w:r w:rsidR="00584BCA" w:rsidRPr="00584BCA">
        <w:rPr>
          <w:b/>
        </w:rPr>
        <w:t>n/V</w:t>
      </w:r>
      <w:r w:rsidR="00106AAA">
        <w:t>,</w:t>
      </w:r>
      <w:r w:rsidR="00584BCA">
        <w:t xml:space="preserve"> </w:t>
      </w:r>
    </w:p>
    <w:p w:rsidR="00BB1006" w:rsidRDefault="00584BCA" w:rsidP="00BB1006">
      <w:pPr>
        <w:spacing w:line="360" w:lineRule="auto"/>
      </w:pPr>
      <w:r w:rsidRPr="00584BCA">
        <w:rPr>
          <w:b/>
          <w:u w:val="single"/>
        </w:rPr>
        <w:t>6</w:t>
      </w:r>
      <w:r>
        <w:t xml:space="preserve"> simplifies to</w:t>
      </w:r>
      <w:r w:rsidR="00D06FE1">
        <w:t xml:space="preserve"> the familiar form below</w:t>
      </w:r>
      <w:r w:rsidR="00BB1006">
        <w:t>:</w:t>
      </w:r>
      <w:r>
        <w:t xml:space="preserve"> </w:t>
      </w:r>
    </w:p>
    <w:p w:rsidR="00C80D50" w:rsidRDefault="00C80D50" w:rsidP="00BB1006">
      <w:pPr>
        <w:spacing w:line="360" w:lineRule="auto"/>
      </w:pPr>
    </w:p>
    <w:p w:rsidR="00BB1006" w:rsidRPr="000C2E01" w:rsidRDefault="00584BCA" w:rsidP="00BB1006">
      <w:pPr>
        <w:rPr>
          <w:b/>
        </w:rPr>
      </w:pPr>
      <w:r w:rsidRPr="00BB1006">
        <w:rPr>
          <w:b/>
          <w:u w:val="single"/>
        </w:rPr>
        <w:t>3</w:t>
      </w:r>
      <w:r w:rsidR="00BB1006" w:rsidRPr="00BB1006">
        <w:rPr>
          <w:b/>
        </w:rPr>
        <w:tab/>
      </w:r>
      <w:r w:rsidR="00BB1006" w:rsidRPr="00BB1006">
        <w:rPr>
          <w:b/>
        </w:rPr>
        <w:tab/>
      </w:r>
      <w:r w:rsidR="00BB1006" w:rsidRPr="00BB1006">
        <w:rPr>
          <w:b/>
        </w:rPr>
        <w:tab/>
      </w:r>
      <w:r w:rsidR="00BB1006" w:rsidRPr="00BB1006">
        <w:rPr>
          <w:b/>
        </w:rPr>
        <w:tab/>
        <w:t xml:space="preserve"> </w:t>
      </w:r>
      <w:r w:rsidR="00BB1006">
        <w:rPr>
          <w:b/>
        </w:rPr>
        <w:sym w:font="Symbol" w:char="F044"/>
      </w:r>
      <w:r w:rsidR="00BB1006" w:rsidRPr="00111FA5">
        <w:rPr>
          <w:b/>
        </w:rPr>
        <w:t>P</w:t>
      </w:r>
      <w:r w:rsidR="00BB1006">
        <w:rPr>
          <w:b/>
        </w:rPr>
        <w:t xml:space="preserve"> = </w:t>
      </w:r>
      <w:r w:rsidR="00BB1006" w:rsidRPr="000C2E01">
        <w:rPr>
          <w:rFonts w:ascii="Arial Black" w:hAnsi="Arial Black"/>
          <w:b/>
          <w:u w:val="single"/>
        </w:rPr>
        <w:t>a</w:t>
      </w:r>
      <w:r w:rsidR="00BB1006" w:rsidRPr="000C2E01">
        <w:rPr>
          <w:b/>
          <w:u w:val="single"/>
        </w:rPr>
        <w:t>n</w:t>
      </w:r>
      <w:r w:rsidR="00BB1006" w:rsidRPr="000C2E01">
        <w:rPr>
          <w:b/>
          <w:u w:val="single"/>
          <w:vertAlign w:val="superscript"/>
        </w:rPr>
        <w:t>2</w:t>
      </w:r>
    </w:p>
    <w:p w:rsidR="00106AAA" w:rsidRDefault="00BB1006" w:rsidP="00BB1006">
      <w:pPr>
        <w:rPr>
          <w:b/>
          <w:vertAlign w:val="superscript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164DCE">
        <w:rPr>
          <w:b/>
        </w:rPr>
        <w:t>V</w:t>
      </w:r>
      <w:r w:rsidRPr="00164DCE">
        <w:rPr>
          <w:b/>
          <w:vertAlign w:val="superscript"/>
        </w:rPr>
        <w:t>2</w:t>
      </w:r>
    </w:p>
    <w:p w:rsidR="00C80D50" w:rsidRDefault="00C80D50" w:rsidP="00BB1006"/>
    <w:p w:rsidR="00BB1006" w:rsidRDefault="00B42CF9" w:rsidP="00BB1006">
      <w:pPr>
        <w:spacing w:line="360" w:lineRule="auto"/>
      </w:pPr>
      <w:r>
        <w:t>The foregoing clearly predicts that increasing non-ideality occurs as gas density is increased.</w:t>
      </w:r>
      <w:r w:rsidR="00116BCE">
        <w:t xml:space="preserve"> For example,</w:t>
      </w:r>
      <w:r>
        <w:t xml:space="preserve"> at a common gas density of 0.005 mol/L (see Table </w:t>
      </w:r>
      <w:r w:rsidR="007550CD">
        <w:t xml:space="preserve">1), He and </w:t>
      </w:r>
      <w:proofErr w:type="spellStart"/>
      <w:r w:rsidR="007550CD">
        <w:t>Xe</w:t>
      </w:r>
      <w:proofErr w:type="spellEnd"/>
      <w:r w:rsidR="007550CD">
        <w:t xml:space="preserve"> exhibit </w:t>
      </w:r>
      <w:r>
        <w:t xml:space="preserve">no </w:t>
      </w:r>
      <w:r w:rsidR="007550CD">
        <w:t xml:space="preserve">measurably significant </w:t>
      </w:r>
      <w:r>
        <w:t xml:space="preserve">deviance </w:t>
      </w:r>
      <w:r>
        <w:lastRenderedPageBreak/>
        <w:t>from ideality</w:t>
      </w:r>
      <w:r w:rsidR="00D96416">
        <w:t>. B</w:t>
      </w:r>
      <w:r>
        <w:t>ut, at a density of 1 mol/L, He deviates by 0.14% an</w:t>
      </w:r>
      <w:r w:rsidR="00821D7E">
        <w:t xml:space="preserve">d </w:t>
      </w:r>
      <w:proofErr w:type="spellStart"/>
      <w:r w:rsidR="00821D7E">
        <w:t>Xe</w:t>
      </w:r>
      <w:proofErr w:type="spellEnd"/>
      <w:r w:rsidR="00821D7E">
        <w:t xml:space="preserve"> deviates by 17.3%</w:t>
      </w:r>
      <w:r>
        <w:t>.</w:t>
      </w:r>
      <w:r w:rsidR="00333BF2">
        <w:t xml:space="preserve"> Similar to the effect of increasing charge density in Coulomb’s law, increasing gas density correlates with increased a</w:t>
      </w:r>
      <w:r w:rsidR="007550CD">
        <w:t>ttraction between gas molecules. Higher density necessarily lowers</w:t>
      </w:r>
      <w:r w:rsidR="00333BF2">
        <w:t xml:space="preserve"> </w:t>
      </w:r>
      <w:r w:rsidR="00B4556B">
        <w:t>the distance between</w:t>
      </w:r>
      <w:r w:rsidR="007550CD">
        <w:t xml:space="preserve"> gas molecules and thus increases the magnitude of their interaction in a fashion analogous to Coulomb’s Law. </w:t>
      </w:r>
    </w:p>
    <w:p w:rsidR="00B42CF9" w:rsidRDefault="00B42CF9" w:rsidP="00BB1006">
      <w:pPr>
        <w:spacing w:line="360" w:lineRule="auto"/>
      </w:pPr>
    </w:p>
    <w:p w:rsidR="00106AAA" w:rsidRDefault="00C54D2D" w:rsidP="00B4556B">
      <w:pPr>
        <w:spacing w:line="360" w:lineRule="auto"/>
      </w:pPr>
      <w:r>
        <w:rPr>
          <w:noProof/>
        </w:rPr>
        <w:pict>
          <v:shape id="_x0000_s1044" type="#_x0000_t202" style="position:absolute;margin-left:105.4pt;margin-top:196.45pt;width:57.7pt;height:30.95pt;z-index:251672576" filled="f" stroked="f">
            <v:textbox style="mso-next-textbox:#_x0000_s1044">
              <w:txbxContent>
                <w:p w:rsidR="004E1F44" w:rsidRPr="004E1F44" w:rsidRDefault="004E1F44">
                  <w:pPr>
                    <w:rPr>
                      <w:b/>
                    </w:rPr>
                  </w:pPr>
                  <w:r w:rsidRPr="004E1F44">
                    <w:rPr>
                      <w:b/>
                    </w:rPr>
                    <w:t>50*He 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63.1pt;margin-top:233.45pt;width:42.2pt;height:34.5pt;z-index:251671552" filled="f" stroked="f">
            <v:textbox style="mso-next-textbox:#_x0000_s1043">
              <w:txbxContent>
                <w:p w:rsidR="004E1F44" w:rsidRPr="004E1F44" w:rsidRDefault="004E1F44">
                  <w:pPr>
                    <w:rPr>
                      <w:b/>
                    </w:rPr>
                  </w:pPr>
                  <w:proofErr w:type="spellStart"/>
                  <w:r w:rsidRPr="004E1F44">
                    <w:rPr>
                      <w:b/>
                    </w:rPr>
                    <w:t>Xe</w:t>
                  </w:r>
                  <w:proofErr w:type="spellEnd"/>
                  <w:r w:rsidRPr="004E1F44">
                    <w:rPr>
                      <w:b/>
                    </w:rPr>
                    <w:t xml:space="preserve"> %</w:t>
                  </w:r>
                </w:p>
              </w:txbxContent>
            </v:textbox>
          </v:shape>
        </w:pict>
      </w:r>
      <w:r w:rsidR="00D06FE1">
        <w:t xml:space="preserve"> L</w:t>
      </w:r>
      <w:r w:rsidR="00B42CF9">
        <w:t xml:space="preserve">ess obviously, the presence of a </w:t>
      </w:r>
      <w:r w:rsidR="004B5787">
        <w:t xml:space="preserve">fixed, </w:t>
      </w:r>
      <w:r w:rsidR="00B42CF9">
        <w:t>fin</w:t>
      </w:r>
      <w:r w:rsidR="00821D7E">
        <w:t xml:space="preserve">ite attractive interaction </w:t>
      </w:r>
      <w:r w:rsidR="004B5787">
        <w:t xml:space="preserve">at constant </w:t>
      </w:r>
      <w:r w:rsidR="004B5787" w:rsidRPr="004B5787">
        <w:rPr>
          <w:b/>
        </w:rPr>
        <w:t>n</w:t>
      </w:r>
      <w:r w:rsidR="00A72C64">
        <w:rPr>
          <w:b/>
        </w:rPr>
        <w:t>/</w:t>
      </w:r>
      <w:r w:rsidR="004B5787">
        <w:t xml:space="preserve"> </w:t>
      </w:r>
      <w:r w:rsidR="004B5787" w:rsidRPr="004B5787">
        <w:rPr>
          <w:b/>
        </w:rPr>
        <w:t>V</w:t>
      </w:r>
      <w:r w:rsidR="004B5787">
        <w:t xml:space="preserve"> implied by</w:t>
      </w:r>
      <w:r w:rsidR="00821D7E">
        <w:t xml:space="preserve"> </w:t>
      </w:r>
      <w:r w:rsidR="00821D7E" w:rsidRPr="00821D7E">
        <w:rPr>
          <w:b/>
          <w:u w:val="single"/>
        </w:rPr>
        <w:t>3</w:t>
      </w:r>
      <w:r w:rsidR="00821D7E">
        <w:t xml:space="preserve"> </w:t>
      </w:r>
      <w:r w:rsidR="00D06FE1">
        <w:t xml:space="preserve">also </w:t>
      </w:r>
      <w:r w:rsidR="009922D5">
        <w:t>reveals</w:t>
      </w:r>
      <w:r w:rsidR="00821D7E">
        <w:t xml:space="preserve"> how deviance from ideal behavior depends on temperature. Using the data of Table 1, the % deviance</w:t>
      </w:r>
      <w:r w:rsidR="00B4556B">
        <w:t xml:space="preserve"> of P from ideality</w:t>
      </w:r>
      <w:r w:rsidR="00821D7E">
        <w:t xml:space="preserve"> of both He and </w:t>
      </w:r>
      <w:proofErr w:type="spellStart"/>
      <w:r w:rsidR="00821D7E">
        <w:t>Xe</w:t>
      </w:r>
      <w:proofErr w:type="spellEnd"/>
      <w:r w:rsidR="00821D7E">
        <w:t xml:space="preserve"> as a function of </w:t>
      </w:r>
      <w:r w:rsidR="00821D7E" w:rsidRPr="004B5787">
        <w:rPr>
          <w:b/>
        </w:rPr>
        <w:t>T</w:t>
      </w:r>
      <w:r w:rsidR="007550CD">
        <w:t>,</w:t>
      </w:r>
      <w:r w:rsidR="00821D7E">
        <w:t xml:space="preserve"> are shown in Figure 4.</w:t>
      </w:r>
      <w:r w:rsidR="00B4556B">
        <w:t xml:space="preserve"> As </w:t>
      </w:r>
      <w:r w:rsidR="00D06FE1">
        <w:t>expect</w:t>
      </w:r>
      <w:r w:rsidR="00B4556B">
        <w:t>ed,</w:t>
      </w:r>
      <w:r w:rsidR="00116BCE">
        <w:t xml:space="preserve"> at and above room temperature </w:t>
      </w:r>
      <w:r w:rsidR="00D06FE1">
        <w:t>molecular energies are</w:t>
      </w:r>
      <w:r w:rsidR="00116BCE">
        <w:t xml:space="preserve"> evidently </w:t>
      </w:r>
      <w:r w:rsidR="00D06FE1">
        <w:t>high</w:t>
      </w:r>
      <w:r w:rsidR="00116BCE">
        <w:t xml:space="preserve"> enough</w:t>
      </w:r>
      <w:r w:rsidR="009922D5">
        <w:t xml:space="preserve"> </w:t>
      </w:r>
      <w:r w:rsidR="00116BCE">
        <w:t xml:space="preserve">so that intermolecular </w:t>
      </w:r>
      <w:r w:rsidR="00D06FE1">
        <w:t>interactions</w:t>
      </w:r>
      <w:r w:rsidR="003B67A2">
        <w:t>, which are fixed in magnitude</w:t>
      </w:r>
      <w:r w:rsidR="00B4556B">
        <w:t>,</w:t>
      </w:r>
      <w:r w:rsidR="003B67A2">
        <w:t xml:space="preserve"> </w:t>
      </w:r>
      <w:r w:rsidR="00116BCE">
        <w:t>produce less than 1% deviations.</w:t>
      </w:r>
      <w:r w:rsidR="00A63EA1">
        <w:t xml:space="preserve"> Deviance becomes noticeable, however, a</w:t>
      </w:r>
      <w:r w:rsidR="00B4556B">
        <w:t>s temperatures fall below 250 K where the kinetic energy to overcome the fixe</w:t>
      </w:r>
      <w:r w:rsidR="00C80D50">
        <w:t>d attractions is</w:t>
      </w:r>
      <w:r w:rsidR="00B4556B">
        <w:t xml:space="preserve"> much lower.</w:t>
      </w:r>
      <w:r w:rsidR="004B5787" w:rsidRPr="00D122E7">
        <w:rPr>
          <w:noProof/>
          <w:lang w:eastAsia="zh-CN"/>
        </w:rPr>
        <w:drawing>
          <wp:inline distT="0" distB="0" distL="0" distR="0">
            <wp:extent cx="4507608" cy="2342678"/>
            <wp:effectExtent l="19050" t="0" r="26292" b="472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06AAA">
        <w:tab/>
      </w:r>
    </w:p>
    <w:p w:rsidR="009922D5" w:rsidRDefault="009922D5" w:rsidP="00284F14"/>
    <w:p w:rsidR="00C630A8" w:rsidRDefault="00D06FE1" w:rsidP="00D06FE1">
      <w:pPr>
        <w:spacing w:line="360" w:lineRule="auto"/>
      </w:pPr>
      <w:r>
        <w:t>The present work confirms previous estimates</w:t>
      </w:r>
      <w:r w:rsidR="0067394D">
        <w:rPr>
          <w:vertAlign w:val="superscript"/>
        </w:rPr>
        <w:t>3</w:t>
      </w:r>
      <w:r>
        <w:t xml:space="preserve"> of </w:t>
      </w:r>
      <w:proofErr w:type="gramStart"/>
      <w:r w:rsidRPr="00D06FE1">
        <w:rPr>
          <w:rFonts w:ascii="Arial Black" w:hAnsi="Arial Black"/>
        </w:rPr>
        <w:t>a</w:t>
      </w:r>
      <w:r>
        <w:t xml:space="preserve"> .</w:t>
      </w:r>
      <w:proofErr w:type="gramEnd"/>
      <w:r>
        <w:t xml:space="preserve">  The obviously wide difference between </w:t>
      </w:r>
      <w:proofErr w:type="gramStart"/>
      <w:r>
        <w:t>He</w:t>
      </w:r>
      <w:proofErr w:type="gramEnd"/>
      <w:r>
        <w:t xml:space="preserve"> and </w:t>
      </w:r>
      <w:proofErr w:type="spellStart"/>
      <w:r>
        <w:t>Xe</w:t>
      </w:r>
      <w:proofErr w:type="spellEnd"/>
      <w:r>
        <w:t xml:space="preserve">, </w:t>
      </w:r>
    </w:p>
    <w:p w:rsidR="00D06FE1" w:rsidRDefault="00D06FE1" w:rsidP="00D06FE1">
      <w:pPr>
        <w:spacing w:line="360" w:lineRule="auto"/>
      </w:pPr>
      <w:proofErr w:type="spellStart"/>
      <w:r>
        <w:t>whose</w:t>
      </w:r>
      <w:proofErr w:type="spellEnd"/>
      <w:r>
        <w:t xml:space="preserve"> </w:t>
      </w:r>
      <w:r w:rsidRPr="00D06FE1">
        <w:rPr>
          <w:rFonts w:ascii="Arial Black" w:hAnsi="Arial Black"/>
        </w:rPr>
        <w:t>a</w:t>
      </w:r>
      <w:r>
        <w:t xml:space="preserve"> differ by a factor of </w:t>
      </w:r>
      <w:r w:rsidR="00116BCE" w:rsidRPr="00B4556B">
        <w:rPr>
          <w:rFonts w:ascii="Arial Black" w:hAnsi="Arial Black"/>
        </w:rPr>
        <w:t>a</w:t>
      </w:r>
      <w:r w:rsidR="00116BCE">
        <w:t>(</w:t>
      </w:r>
      <w:proofErr w:type="spellStart"/>
      <w:r w:rsidR="00116BCE">
        <w:t>Xe</w:t>
      </w:r>
      <w:proofErr w:type="spellEnd"/>
      <w:r w:rsidR="00116BCE">
        <w:t>)/</w:t>
      </w:r>
      <w:r w:rsidR="00116BCE" w:rsidRPr="00B4556B">
        <w:rPr>
          <w:rFonts w:ascii="Arial Black" w:hAnsi="Arial Black"/>
        </w:rPr>
        <w:t>a</w:t>
      </w:r>
      <w:r w:rsidR="00116BCE">
        <w:t>(He)= 125 correlates well with  molecular scale measur</w:t>
      </w:r>
      <w:r w:rsidR="00306460">
        <w:t xml:space="preserve">ements of polarizability and </w:t>
      </w:r>
      <w:r w:rsidR="00116BCE">
        <w:t xml:space="preserve"> binding energy </w:t>
      </w:r>
      <w:r w:rsidR="00333BF2">
        <w:t xml:space="preserve">for the two gases </w:t>
      </w:r>
      <w:r w:rsidR="00116BCE">
        <w:t>as seen Table 6.</w:t>
      </w:r>
    </w:p>
    <w:p w:rsidR="00C80D50" w:rsidRDefault="00C80D50" w:rsidP="00306460">
      <w:pPr>
        <w:rPr>
          <w:b/>
        </w:rPr>
      </w:pPr>
    </w:p>
    <w:p w:rsidR="00306460" w:rsidRDefault="00306460" w:rsidP="00306460">
      <w:pPr>
        <w:rPr>
          <w:b/>
        </w:rPr>
      </w:pPr>
      <w:r w:rsidRPr="00306460">
        <w:rPr>
          <w:b/>
        </w:rPr>
        <w:t>Table 6: Comparison of Derived Macroscopic Interaction Constant</w:t>
      </w:r>
      <w:r>
        <w:rPr>
          <w:b/>
        </w:rPr>
        <w:t>s</w:t>
      </w:r>
      <w:r w:rsidRPr="00306460">
        <w:rPr>
          <w:b/>
        </w:rPr>
        <w:t xml:space="preserve"> </w:t>
      </w:r>
      <w:r w:rsidRPr="00306460">
        <w:rPr>
          <w:rFonts w:ascii="Arial Black" w:hAnsi="Arial Black"/>
          <w:b/>
        </w:rPr>
        <w:t>a</w:t>
      </w:r>
      <w:r w:rsidRPr="00306460">
        <w:rPr>
          <w:b/>
        </w:rPr>
        <w:t xml:space="preserve"> for He and </w:t>
      </w:r>
      <w:proofErr w:type="spellStart"/>
      <w:r w:rsidRPr="00306460">
        <w:rPr>
          <w:b/>
        </w:rPr>
        <w:t>Xe</w:t>
      </w:r>
      <w:proofErr w:type="spellEnd"/>
      <w:r w:rsidRPr="00306460">
        <w:rPr>
          <w:b/>
        </w:rPr>
        <w:t xml:space="preserve"> </w:t>
      </w:r>
    </w:p>
    <w:p w:rsidR="00306460" w:rsidRPr="00306460" w:rsidRDefault="0067394D" w:rsidP="00306460">
      <w:pPr>
        <w:ind w:firstLine="720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versus</w:t>
      </w:r>
      <w:proofErr w:type="gramEnd"/>
      <w:r>
        <w:rPr>
          <w:b/>
        </w:rPr>
        <w:t xml:space="preserve"> </w:t>
      </w:r>
      <w:r w:rsidR="00306460" w:rsidRPr="00306460">
        <w:rPr>
          <w:b/>
        </w:rPr>
        <w:t>Selected Molecular Interaction Measurements</w:t>
      </w:r>
    </w:p>
    <w:p w:rsidR="00306460" w:rsidRPr="00306460" w:rsidRDefault="00306460" w:rsidP="00306460"/>
    <w:p w:rsidR="007550CD" w:rsidRDefault="00306460" w:rsidP="007550CD">
      <w:pPr>
        <w:spacing w:line="360" w:lineRule="auto"/>
        <w:rPr>
          <w:b/>
          <w:u w:val="single"/>
          <w:vertAlign w:val="superscript"/>
        </w:rPr>
      </w:pPr>
      <w:proofErr w:type="gramStart"/>
      <w:r w:rsidRPr="00306460">
        <w:rPr>
          <w:b/>
          <w:u w:val="single"/>
        </w:rPr>
        <w:t>gas</w:t>
      </w:r>
      <w:proofErr w:type="gramEnd"/>
      <w:r w:rsidR="00116BCE" w:rsidRPr="00306460">
        <w:rPr>
          <w:b/>
          <w:u w:val="single"/>
        </w:rPr>
        <w:tab/>
      </w:r>
      <w:r w:rsidR="00116BCE" w:rsidRPr="007550CD">
        <w:rPr>
          <w:rFonts w:ascii="Arial Black" w:hAnsi="Arial Black"/>
          <w:b/>
          <w:u w:val="single"/>
        </w:rPr>
        <w:t>a</w:t>
      </w:r>
      <w:r w:rsidR="00116BCE" w:rsidRPr="00306460">
        <w:rPr>
          <w:b/>
          <w:u w:val="single"/>
        </w:rPr>
        <w:t>(</w:t>
      </w:r>
      <w:proofErr w:type="spellStart"/>
      <w:r w:rsidR="00116BCE" w:rsidRPr="00306460">
        <w:rPr>
          <w:b/>
          <w:u w:val="single"/>
        </w:rPr>
        <w:t>atm</w:t>
      </w:r>
      <w:proofErr w:type="spellEnd"/>
      <w:r w:rsidR="00116BCE" w:rsidRPr="00306460">
        <w:rPr>
          <w:b/>
          <w:u w:val="single"/>
        </w:rPr>
        <w:t xml:space="preserve"> L</w:t>
      </w:r>
      <w:r w:rsidR="00116BCE" w:rsidRPr="00306460">
        <w:rPr>
          <w:b/>
          <w:u w:val="single"/>
          <w:vertAlign w:val="superscript"/>
        </w:rPr>
        <w:t>2</w:t>
      </w:r>
      <w:r w:rsidR="00116BCE" w:rsidRPr="00306460">
        <w:rPr>
          <w:b/>
          <w:u w:val="single"/>
        </w:rPr>
        <w:t>/mol</w:t>
      </w:r>
      <w:r w:rsidR="00116BCE" w:rsidRPr="00306460">
        <w:rPr>
          <w:b/>
          <w:u w:val="single"/>
          <w:vertAlign w:val="superscript"/>
        </w:rPr>
        <w:t>2</w:t>
      </w:r>
      <w:r w:rsidR="00116BCE" w:rsidRPr="00306460">
        <w:rPr>
          <w:b/>
          <w:u w:val="single"/>
        </w:rPr>
        <w:t xml:space="preserve">)     </w:t>
      </w:r>
      <w:r w:rsidR="00116BCE" w:rsidRPr="00306460">
        <w:rPr>
          <w:b/>
          <w:u w:val="single"/>
        </w:rPr>
        <w:sym w:font="Symbol" w:char="F061"/>
      </w:r>
      <w:r w:rsidR="00116BCE" w:rsidRPr="00306460">
        <w:rPr>
          <w:b/>
          <w:u w:val="single"/>
        </w:rPr>
        <w:t>(polarizability, AU)</w:t>
      </w:r>
      <w:r w:rsidR="0067394D">
        <w:rPr>
          <w:b/>
          <w:u w:val="single"/>
          <w:vertAlign w:val="superscript"/>
        </w:rPr>
        <w:t>4</w:t>
      </w:r>
      <w:r w:rsidR="00116BCE" w:rsidRPr="00306460">
        <w:rPr>
          <w:b/>
          <w:u w:val="single"/>
        </w:rPr>
        <w:tab/>
      </w:r>
      <w:r w:rsidR="00116BCE" w:rsidRPr="00306460">
        <w:rPr>
          <w:b/>
          <w:u w:val="single"/>
        </w:rPr>
        <w:tab/>
        <w:t>Binding energy Pd(100) face, MeV</w:t>
      </w:r>
      <w:r w:rsidR="0067394D">
        <w:rPr>
          <w:b/>
          <w:u w:val="single"/>
          <w:vertAlign w:val="superscript"/>
        </w:rPr>
        <w:t>4</w:t>
      </w:r>
    </w:p>
    <w:p w:rsidR="00D06FE1" w:rsidRDefault="00116BCE" w:rsidP="007550CD">
      <w:r>
        <w:t>He</w:t>
      </w:r>
      <w:r>
        <w:tab/>
        <w:t>0.034</w:t>
      </w:r>
      <w:r>
        <w:tab/>
      </w:r>
      <w:r>
        <w:tab/>
        <w:t xml:space="preserve"> 1.322</w:t>
      </w:r>
      <w:r>
        <w:tab/>
      </w:r>
      <w:r>
        <w:tab/>
      </w:r>
      <w:r>
        <w:tab/>
      </w:r>
      <w:r>
        <w:tab/>
        <w:t>10</w:t>
      </w:r>
    </w:p>
    <w:p w:rsidR="00116BCE" w:rsidRDefault="00116BCE" w:rsidP="007550CD">
      <w:proofErr w:type="spellStart"/>
      <w:r>
        <w:t>Xe</w:t>
      </w:r>
      <w:proofErr w:type="spellEnd"/>
      <w:r>
        <w:tab/>
        <w:t>4.25</w:t>
      </w:r>
      <w:r>
        <w:tab/>
      </w:r>
      <w:r>
        <w:tab/>
        <w:t>27.97</w:t>
      </w:r>
      <w:r>
        <w:tab/>
      </w:r>
      <w:r>
        <w:tab/>
      </w:r>
      <w:r>
        <w:tab/>
      </w:r>
      <w:r>
        <w:tab/>
        <w:t>320-360</w:t>
      </w:r>
    </w:p>
    <w:p w:rsidR="00116BCE" w:rsidRDefault="00C54D2D" w:rsidP="007550CD">
      <w:r>
        <w:rPr>
          <w:noProof/>
        </w:rPr>
        <w:pict>
          <v:shape id="_x0000_s1035" type="#_x0000_t32" style="position:absolute;margin-left:3.05pt;margin-top:8.3pt;width:316.55pt;height:1.15pt;flip:y;z-index:251665408" o:connectortype="straight"/>
        </w:pict>
      </w:r>
    </w:p>
    <w:p w:rsidR="00116BCE" w:rsidRDefault="0067394D" w:rsidP="007550CD">
      <w:proofErr w:type="gramStart"/>
      <w:r>
        <w:t>ratio</w:t>
      </w:r>
      <w:proofErr w:type="gramEnd"/>
      <w:r w:rsidR="00306460">
        <w:tab/>
        <w:t>125</w:t>
      </w:r>
      <w:r w:rsidR="00306460">
        <w:tab/>
      </w:r>
      <w:r w:rsidR="00306460">
        <w:tab/>
        <w:t>21</w:t>
      </w:r>
      <w:r w:rsidR="00306460">
        <w:tab/>
      </w:r>
      <w:r w:rsidR="00306460">
        <w:tab/>
      </w:r>
      <w:r w:rsidR="00306460">
        <w:tab/>
      </w:r>
      <w:r w:rsidR="00306460">
        <w:tab/>
        <w:t>32-36</w:t>
      </w:r>
      <w:r>
        <w:t xml:space="preserve"> </w:t>
      </w:r>
      <w:r w:rsidR="00A63EA1">
        <w:tab/>
      </w:r>
      <w:r w:rsidR="00A63EA1">
        <w:tab/>
      </w:r>
      <w:r w:rsidR="00A63EA1">
        <w:tab/>
      </w:r>
      <w:r w:rsidR="004B5787">
        <w:t>(463</w:t>
      </w:r>
      <w:r w:rsidR="00A45BF7">
        <w:t xml:space="preserve"> </w:t>
      </w:r>
      <w:r w:rsidR="00B4556B">
        <w:t>words &amp; no. )</w:t>
      </w:r>
    </w:p>
    <w:p w:rsidR="00D06FE1" w:rsidRDefault="00D06FE1" w:rsidP="00116BCE"/>
    <w:p w:rsidR="00306460" w:rsidRDefault="00306460" w:rsidP="00116BCE"/>
    <w:p w:rsidR="003B67A2" w:rsidRDefault="003B67A2" w:rsidP="00116BCE"/>
    <w:p w:rsidR="0085191E" w:rsidRDefault="0085191E" w:rsidP="00116BCE"/>
    <w:p w:rsidR="0085191E" w:rsidRDefault="0085191E" w:rsidP="00116BCE"/>
    <w:p w:rsidR="00306460" w:rsidRPr="00B36194" w:rsidRDefault="00306460" w:rsidP="00116BCE">
      <w:pPr>
        <w:rPr>
          <w:b/>
          <w:sz w:val="24"/>
          <w:szCs w:val="24"/>
        </w:rPr>
      </w:pPr>
      <w:r w:rsidRPr="00B36194">
        <w:rPr>
          <w:b/>
          <w:sz w:val="24"/>
          <w:szCs w:val="24"/>
        </w:rPr>
        <w:lastRenderedPageBreak/>
        <w:t>References</w:t>
      </w:r>
    </w:p>
    <w:p w:rsidR="00306460" w:rsidRDefault="00306460" w:rsidP="00116BCE"/>
    <w:p w:rsidR="00306460" w:rsidRDefault="00306460" w:rsidP="00306460">
      <w:pPr>
        <w:pStyle w:val="ListParagraph"/>
        <w:numPr>
          <w:ilvl w:val="0"/>
          <w:numId w:val="3"/>
        </w:numPr>
      </w:pPr>
      <w:r>
        <w:t xml:space="preserve">J. </w:t>
      </w:r>
      <w:proofErr w:type="spellStart"/>
      <w:r>
        <w:t>Forey</w:t>
      </w:r>
      <w:proofErr w:type="spellEnd"/>
      <w:r>
        <w:t xml:space="preserve">, </w:t>
      </w:r>
      <w:r w:rsidRPr="00CF62A9">
        <w:rPr>
          <w:b/>
          <w:u w:val="single"/>
        </w:rPr>
        <w:t>Vacuum Sci. B</w:t>
      </w:r>
      <w:r>
        <w:t xml:space="preserve">, </w:t>
      </w:r>
      <w:r w:rsidRPr="00CF62A9">
        <w:rPr>
          <w:b/>
          <w:u w:val="single"/>
        </w:rPr>
        <w:t>112</w:t>
      </w:r>
      <w:r>
        <w:t>, 300-304 (1999)</w:t>
      </w:r>
    </w:p>
    <w:p w:rsidR="0067394D" w:rsidRDefault="00306460" w:rsidP="00306460">
      <w:pPr>
        <w:ind w:left="360"/>
        <w:rPr>
          <w:rStyle w:val="reference-text"/>
        </w:rPr>
      </w:pPr>
      <w:r>
        <w:t>2.</w:t>
      </w:r>
      <w:r w:rsidRPr="00306460">
        <w:t xml:space="preserve"> </w:t>
      </w:r>
      <w:r w:rsidR="0067394D">
        <w:t xml:space="preserve">   </w:t>
      </w:r>
      <w:r w:rsidR="0067394D">
        <w:rPr>
          <w:rStyle w:val="reference-text"/>
        </w:rPr>
        <w:t>R. S, Berry, S.</w:t>
      </w:r>
      <w:r>
        <w:rPr>
          <w:rStyle w:val="reference-text"/>
        </w:rPr>
        <w:t xml:space="preserve"> A. Rice &amp; </w:t>
      </w:r>
      <w:r w:rsidR="0067394D">
        <w:rPr>
          <w:rStyle w:val="reference-text"/>
        </w:rPr>
        <w:t xml:space="preserve"> Ross,  </w:t>
      </w:r>
      <w:r w:rsidRPr="0067394D">
        <w:rPr>
          <w:rStyle w:val="reference-text"/>
          <w:b/>
          <w:i/>
        </w:rPr>
        <w:t>Physical Chemistry</w:t>
      </w:r>
      <w:r>
        <w:rPr>
          <w:rStyle w:val="reference-text"/>
        </w:rPr>
        <w:t xml:space="preserve"> </w:t>
      </w:r>
      <w:r w:rsidR="0067394D">
        <w:rPr>
          <w:rStyle w:val="reference-text"/>
        </w:rPr>
        <w:t>Oxford Press, Oxford Eng., 1</w:t>
      </w:r>
      <w:r w:rsidR="0067394D" w:rsidRPr="0067394D">
        <w:rPr>
          <w:rStyle w:val="reference-text"/>
          <w:vertAlign w:val="superscript"/>
        </w:rPr>
        <w:t>st</w:t>
      </w:r>
      <w:r w:rsidR="0067394D">
        <w:rPr>
          <w:rStyle w:val="reference-text"/>
        </w:rPr>
        <w:t xml:space="preserve"> edition </w:t>
      </w:r>
      <w:r>
        <w:rPr>
          <w:rStyle w:val="reference-text"/>
        </w:rPr>
        <w:t xml:space="preserve">pp. 298-306 </w:t>
      </w:r>
    </w:p>
    <w:p w:rsidR="00306460" w:rsidRDefault="0067394D" w:rsidP="00306460">
      <w:pPr>
        <w:ind w:left="360"/>
        <w:rPr>
          <w:rStyle w:val="reference-text"/>
        </w:rPr>
      </w:pPr>
      <w:r>
        <w:rPr>
          <w:rStyle w:val="reference-text"/>
        </w:rPr>
        <w:t xml:space="preserve">       (2000)</w:t>
      </w:r>
    </w:p>
    <w:p w:rsidR="0067394D" w:rsidRDefault="0067394D" w:rsidP="00306460">
      <w:pPr>
        <w:ind w:left="360"/>
      </w:pPr>
      <w:r>
        <w:rPr>
          <w:rStyle w:val="reference-text"/>
        </w:rPr>
        <w:t xml:space="preserve">3.   </w:t>
      </w:r>
      <w:proofErr w:type="gramStart"/>
      <w:r>
        <w:rPr>
          <w:rStyle w:val="reference-text"/>
        </w:rPr>
        <w:t xml:space="preserve">R.C </w:t>
      </w:r>
      <w:r w:rsidRPr="0067394D">
        <w:t xml:space="preserve"> </w:t>
      </w:r>
      <w:proofErr w:type="spellStart"/>
      <w:r>
        <w:t>Weast</w:t>
      </w:r>
      <w:proofErr w:type="spellEnd"/>
      <w:proofErr w:type="gramEnd"/>
      <w:r>
        <w:t xml:space="preserve">. </w:t>
      </w:r>
      <w:r w:rsidRPr="0067394D">
        <w:rPr>
          <w:b/>
          <w:i/>
          <w:iCs/>
        </w:rPr>
        <w:t>Handbook of Chemistry and Physics</w:t>
      </w:r>
      <w:r>
        <w:rPr>
          <w:i/>
          <w:iCs/>
        </w:rPr>
        <w:t xml:space="preserve"> </w:t>
      </w:r>
      <w:r>
        <w:t>Chemical Rubber Co. 53 edition 1972.</w:t>
      </w:r>
    </w:p>
    <w:p w:rsidR="0067394D" w:rsidRPr="00D06FE1" w:rsidRDefault="0067394D" w:rsidP="00306460">
      <w:pPr>
        <w:ind w:left="360"/>
      </w:pPr>
      <w:r>
        <w:t xml:space="preserve">4.   M. S. </w:t>
      </w:r>
      <w:proofErr w:type="spellStart"/>
      <w:r>
        <w:t>Safronova</w:t>
      </w:r>
      <w:proofErr w:type="spellEnd"/>
      <w:r>
        <w:t xml:space="preserve">, J. </w:t>
      </w:r>
      <w:proofErr w:type="spellStart"/>
      <w:r>
        <w:t>Mitroy</w:t>
      </w:r>
      <w:proofErr w:type="spellEnd"/>
      <w:r>
        <w:t xml:space="preserve">, C. W. Clark &amp; M. G. </w:t>
      </w:r>
      <w:proofErr w:type="spellStart"/>
      <w:r>
        <w:t>Kozlov</w:t>
      </w:r>
      <w:proofErr w:type="spellEnd"/>
      <w:r>
        <w:t xml:space="preserve">, </w:t>
      </w:r>
      <w:r w:rsidRPr="0067394D">
        <w:rPr>
          <w:b/>
          <w:u w:val="single"/>
        </w:rPr>
        <w:t>Phys. Rev. B</w:t>
      </w:r>
      <w:r>
        <w:t xml:space="preserve"> ,</w:t>
      </w:r>
      <w:r w:rsidRPr="0067394D">
        <w:rPr>
          <w:b/>
          <w:u w:val="single"/>
        </w:rPr>
        <w:t>77</w:t>
      </w:r>
      <w:r w:rsidRPr="0067394D">
        <w:rPr>
          <w:b/>
        </w:rPr>
        <w:t xml:space="preserve"> </w:t>
      </w:r>
      <w:r>
        <w:t>045401 (2008)</w:t>
      </w:r>
    </w:p>
    <w:sectPr w:rsidR="0067394D" w:rsidRPr="00D06FE1" w:rsidSect="0085191E">
      <w:pgSz w:w="12240" w:h="15840" w:code="1"/>
      <w:pgMar w:top="900" w:right="1170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022"/>
    <w:multiLevelType w:val="hybridMultilevel"/>
    <w:tmpl w:val="D1A67524"/>
    <w:lvl w:ilvl="0" w:tplc="D00AC0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8CB2FA6"/>
    <w:multiLevelType w:val="hybridMultilevel"/>
    <w:tmpl w:val="D5BAFEEA"/>
    <w:lvl w:ilvl="0" w:tplc="6930C31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AD9136C"/>
    <w:multiLevelType w:val="hybridMultilevel"/>
    <w:tmpl w:val="B030C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281B"/>
    <w:multiLevelType w:val="hybridMultilevel"/>
    <w:tmpl w:val="D7988C6A"/>
    <w:lvl w:ilvl="0" w:tplc="F51E40E4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8223CA0"/>
    <w:multiLevelType w:val="hybridMultilevel"/>
    <w:tmpl w:val="6C64A7C0"/>
    <w:lvl w:ilvl="0" w:tplc="A4748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2805"/>
    <w:multiLevelType w:val="hybridMultilevel"/>
    <w:tmpl w:val="229C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96BAD"/>
    <w:multiLevelType w:val="hybridMultilevel"/>
    <w:tmpl w:val="97B45FDA"/>
    <w:lvl w:ilvl="0" w:tplc="39503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3102"/>
    <w:rsid w:val="00061012"/>
    <w:rsid w:val="0007688F"/>
    <w:rsid w:val="000823AE"/>
    <w:rsid w:val="000A0C9B"/>
    <w:rsid w:val="000A36E8"/>
    <w:rsid w:val="000C2E01"/>
    <w:rsid w:val="00106AAA"/>
    <w:rsid w:val="00111FA5"/>
    <w:rsid w:val="00116BCE"/>
    <w:rsid w:val="001211F3"/>
    <w:rsid w:val="00144C96"/>
    <w:rsid w:val="00153700"/>
    <w:rsid w:val="001554DA"/>
    <w:rsid w:val="00164DCE"/>
    <w:rsid w:val="00173F8A"/>
    <w:rsid w:val="00193102"/>
    <w:rsid w:val="001A0E3D"/>
    <w:rsid w:val="001D6A02"/>
    <w:rsid w:val="001F1308"/>
    <w:rsid w:val="001F65F2"/>
    <w:rsid w:val="00247243"/>
    <w:rsid w:val="00257688"/>
    <w:rsid w:val="002844B6"/>
    <w:rsid w:val="00284F14"/>
    <w:rsid w:val="00306460"/>
    <w:rsid w:val="0033316C"/>
    <w:rsid w:val="00333BF2"/>
    <w:rsid w:val="00354A6C"/>
    <w:rsid w:val="003670F0"/>
    <w:rsid w:val="003A0008"/>
    <w:rsid w:val="003A656C"/>
    <w:rsid w:val="003B67A2"/>
    <w:rsid w:val="003D2648"/>
    <w:rsid w:val="0041545D"/>
    <w:rsid w:val="0041641F"/>
    <w:rsid w:val="00425DCE"/>
    <w:rsid w:val="00475CA2"/>
    <w:rsid w:val="004B5787"/>
    <w:rsid w:val="004C0EDB"/>
    <w:rsid w:val="004E1F44"/>
    <w:rsid w:val="004F1855"/>
    <w:rsid w:val="004F3420"/>
    <w:rsid w:val="004F574E"/>
    <w:rsid w:val="004F5DF6"/>
    <w:rsid w:val="00525EE5"/>
    <w:rsid w:val="005346F0"/>
    <w:rsid w:val="00536A0A"/>
    <w:rsid w:val="00545477"/>
    <w:rsid w:val="00560151"/>
    <w:rsid w:val="00583477"/>
    <w:rsid w:val="00584BCA"/>
    <w:rsid w:val="005E2928"/>
    <w:rsid w:val="005F086B"/>
    <w:rsid w:val="00610DB3"/>
    <w:rsid w:val="00611275"/>
    <w:rsid w:val="00651EDC"/>
    <w:rsid w:val="0067394D"/>
    <w:rsid w:val="00696CA9"/>
    <w:rsid w:val="006B4FFB"/>
    <w:rsid w:val="006B69AF"/>
    <w:rsid w:val="006C2A9E"/>
    <w:rsid w:val="007550CD"/>
    <w:rsid w:val="007872AE"/>
    <w:rsid w:val="007B455D"/>
    <w:rsid w:val="007B58D7"/>
    <w:rsid w:val="007D73C7"/>
    <w:rsid w:val="007E3A06"/>
    <w:rsid w:val="00821D7E"/>
    <w:rsid w:val="00842A69"/>
    <w:rsid w:val="0085191E"/>
    <w:rsid w:val="00861406"/>
    <w:rsid w:val="00861FD9"/>
    <w:rsid w:val="00865880"/>
    <w:rsid w:val="00876F32"/>
    <w:rsid w:val="00885022"/>
    <w:rsid w:val="008A1958"/>
    <w:rsid w:val="008F0484"/>
    <w:rsid w:val="008F31EA"/>
    <w:rsid w:val="00907C54"/>
    <w:rsid w:val="009714A6"/>
    <w:rsid w:val="00986B1F"/>
    <w:rsid w:val="009922D5"/>
    <w:rsid w:val="009A1061"/>
    <w:rsid w:val="009B1D4B"/>
    <w:rsid w:val="009B68B4"/>
    <w:rsid w:val="009C2607"/>
    <w:rsid w:val="009D7A24"/>
    <w:rsid w:val="00A0177A"/>
    <w:rsid w:val="00A20F37"/>
    <w:rsid w:val="00A45BF7"/>
    <w:rsid w:val="00A63EA1"/>
    <w:rsid w:val="00A66675"/>
    <w:rsid w:val="00A72C64"/>
    <w:rsid w:val="00A74EA9"/>
    <w:rsid w:val="00A859D7"/>
    <w:rsid w:val="00AB349B"/>
    <w:rsid w:val="00AD541C"/>
    <w:rsid w:val="00B06D08"/>
    <w:rsid w:val="00B15BFA"/>
    <w:rsid w:val="00B36194"/>
    <w:rsid w:val="00B42CF9"/>
    <w:rsid w:val="00B4556B"/>
    <w:rsid w:val="00B550B6"/>
    <w:rsid w:val="00B56A93"/>
    <w:rsid w:val="00B800A2"/>
    <w:rsid w:val="00B87BDF"/>
    <w:rsid w:val="00BB1006"/>
    <w:rsid w:val="00BB6801"/>
    <w:rsid w:val="00BD256B"/>
    <w:rsid w:val="00BE768F"/>
    <w:rsid w:val="00BF6F16"/>
    <w:rsid w:val="00C13CE5"/>
    <w:rsid w:val="00C165C0"/>
    <w:rsid w:val="00C35FFF"/>
    <w:rsid w:val="00C54D2D"/>
    <w:rsid w:val="00C630A8"/>
    <w:rsid w:val="00C80D50"/>
    <w:rsid w:val="00C81772"/>
    <w:rsid w:val="00CB0AE9"/>
    <w:rsid w:val="00D03918"/>
    <w:rsid w:val="00D053AD"/>
    <w:rsid w:val="00D06FE1"/>
    <w:rsid w:val="00D122E7"/>
    <w:rsid w:val="00D36120"/>
    <w:rsid w:val="00D5765C"/>
    <w:rsid w:val="00D92E22"/>
    <w:rsid w:val="00D96416"/>
    <w:rsid w:val="00DA1BD7"/>
    <w:rsid w:val="00DA431A"/>
    <w:rsid w:val="00DF17FD"/>
    <w:rsid w:val="00E16896"/>
    <w:rsid w:val="00E262F9"/>
    <w:rsid w:val="00E533CD"/>
    <w:rsid w:val="00E95862"/>
    <w:rsid w:val="00E95900"/>
    <w:rsid w:val="00ED66A3"/>
    <w:rsid w:val="00F02DFC"/>
    <w:rsid w:val="00F365F6"/>
    <w:rsid w:val="00F57337"/>
    <w:rsid w:val="00F95107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5"/>
      </o:rules>
    </o:shapelayout>
  </w:shapeDefaults>
  <w:decimalSymbol w:val="."/>
  <w:listSeparator w:val=","/>
  <w15:docId w15:val="{276640B0-E7BE-4449-A06C-123AC19C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22"/>
    <w:pPr>
      <w:ind w:left="720"/>
      <w:contextualSpacing/>
    </w:pPr>
  </w:style>
  <w:style w:type="table" w:styleId="TableGrid">
    <w:name w:val="Table Grid"/>
    <w:basedOn w:val="TableNormal"/>
    <w:uiPriority w:val="59"/>
    <w:rsid w:val="007E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EA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DefaultParagraphFont"/>
    <w:rsid w:val="0030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fong\Desktop\Fong%20Main\ALFRED\chem6854\lab\van%20der%20Waal%20analysis%20of%20workshop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ong\Desktop\Fong%20Main\ALFRED\chem6854\lab\van%20der%20Waal%20analysis%20of%20workshop%20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ong\Desktop\Fong%20Main\ALFRED\chem6854\lab\van%20der%20Waal%20analysis%20of%20workshop%20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ong\Desktop\Fong%20Main\ALFRED\chem6854\lab\van%20der%20Waal%20analysis%20of%20workshop%20data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>
                <a:sym typeface="Symbol"/>
              </a:rPr>
              <a:t>Figure 1: </a:t>
            </a:r>
          </a:p>
          <a:p>
            <a:pPr>
              <a:defRPr/>
            </a:pPr>
            <a:r>
              <a:rPr lang="en-US" sz="1100">
                <a:sym typeface="Symbol"/>
              </a:rPr>
              <a:t>P</a:t>
            </a:r>
            <a:r>
              <a:rPr lang="en-US" sz="1100" baseline="-25000">
                <a:sym typeface="Symbol"/>
              </a:rPr>
              <a:t>T</a:t>
            </a:r>
            <a:r>
              <a:rPr lang="en-US" sz="1100">
                <a:sym typeface="Symbol"/>
              </a:rPr>
              <a:t>  (atm)  </a:t>
            </a:r>
            <a:r>
              <a:rPr lang="en-US" sz="1100"/>
              <a:t>vs. T(K) for Xe and He at V=20.000 L and n=1.000 mol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4"/>
          <c:order val="0"/>
          <c:tx>
            <c:v>P(ideal)-P(Xe)</c:v>
          </c:tx>
          <c:spPr>
            <a:ln w="28575">
              <a:noFill/>
            </a:ln>
          </c:spPr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</c:numCache>
            </c:numRef>
          </c:xVal>
          <c:yVal>
            <c:numRef>
              <c:f>Sheet1!$F$2:$F$9</c:f>
              <c:numCache>
                <c:formatCode>General</c:formatCode>
                <c:ptCount val="8"/>
                <c:pt idx="0">
                  <c:v>1.0599999999999976E-2</c:v>
                </c:pt>
                <c:pt idx="1">
                  <c:v>1.0700000000000097E-2</c:v>
                </c:pt>
                <c:pt idx="2">
                  <c:v>1.0699999999999918E-2</c:v>
                </c:pt>
                <c:pt idx="3">
                  <c:v>1.0699999999999918E-2</c:v>
                </c:pt>
                <c:pt idx="4">
                  <c:v>1.0699999999999918E-2</c:v>
                </c:pt>
                <c:pt idx="5">
                  <c:v>1.0699999999999918E-2</c:v>
                </c:pt>
                <c:pt idx="6">
                  <c:v>1.0699999999999477E-2</c:v>
                </c:pt>
                <c:pt idx="7">
                  <c:v>1.0699999999999918E-2</c:v>
                </c:pt>
              </c:numCache>
            </c:numRef>
          </c:yVal>
          <c:smooth val="0"/>
        </c:ser>
        <c:ser>
          <c:idx val="0"/>
          <c:order val="1"/>
          <c:tx>
            <c:v>50*(P(ideal)-P(He))</c:v>
          </c:tx>
          <c:spPr>
            <a:ln w="28575">
              <a:noFill/>
            </a:ln>
          </c:spPr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</c:numCache>
            </c:numRef>
          </c:xVal>
          <c:yVal>
            <c:numRef>
              <c:f>Sheet1!$G$2:$G$9</c:f>
              <c:numCache>
                <c:formatCode>0.00000E+00</c:formatCode>
                <c:ptCount val="8"/>
                <c:pt idx="0">
                  <c:v>4.9999999999994806E-3</c:v>
                </c:pt>
                <c:pt idx="1">
                  <c:v>4.9999999999994806E-3</c:v>
                </c:pt>
                <c:pt idx="2">
                  <c:v>4.9999999999994806E-3</c:v>
                </c:pt>
                <c:pt idx="3">
                  <c:v>4.9999999999994806E-3</c:v>
                </c:pt>
                <c:pt idx="4">
                  <c:v>4.9999999999883879E-3</c:v>
                </c:pt>
                <c:pt idx="5">
                  <c:v>4.9999999999883879E-3</c:v>
                </c:pt>
                <c:pt idx="6">
                  <c:v>4.9999999999883879E-3</c:v>
                </c:pt>
                <c:pt idx="7">
                  <c:v>4.9999999999883879E-3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502496"/>
        <c:axId val="125918640"/>
      </c:scatterChart>
      <c:valAx>
        <c:axId val="198502496"/>
        <c:scaling>
          <c:orientation val="minMax"/>
          <c:max val="9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T(K)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918640"/>
        <c:crosses val="autoZero"/>
        <c:crossBetween val="midCat"/>
      </c:valAx>
      <c:valAx>
        <c:axId val="125918640"/>
        <c:scaling>
          <c:orientation val="minMax"/>
          <c:max val="1.2000000000000021E-2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ym typeface="Symbol"/>
                  </a:defRPr>
                </a:pPr>
                <a:r>
                  <a:rPr lang="en-US">
                    <a:sym typeface="Symbol"/>
                  </a:rPr>
                  <a:t>P</a:t>
                </a:r>
                <a:r>
                  <a:rPr lang="en-US" baseline="-25000">
                    <a:sym typeface="Symbol"/>
                  </a:rPr>
                  <a:t>T</a:t>
                </a:r>
                <a:r>
                  <a:rPr lang="en-US">
                    <a:sym typeface="Symbol"/>
                  </a:rPr>
                  <a:t> (atm)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8502496"/>
        <c:crosses val="autoZero"/>
        <c:crossBetween val="midCat"/>
        <c:majorUnit val="2.0000000000000052E-3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>
                <a:sym typeface="Symbol"/>
              </a:rPr>
              <a:t>Figure 2:</a:t>
            </a:r>
          </a:p>
          <a:p>
            <a:pPr>
              <a:defRPr/>
            </a:pPr>
            <a:r>
              <a:rPr lang="en-US" sz="1050">
                <a:sym typeface="Symbol"/>
              </a:rPr>
              <a:t>P(atm) </a:t>
            </a:r>
            <a:r>
              <a:rPr lang="en-US" sz="1050"/>
              <a:t>for He and Xe vs. n</a:t>
            </a:r>
            <a:r>
              <a:rPr lang="en-US" sz="1050" baseline="30000"/>
              <a:t>2</a:t>
            </a:r>
            <a:r>
              <a:rPr lang="en-US" sz="1050"/>
              <a:t> at T=300.0K and V=20.000L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Xe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Sheet1!$E$31:$E$38</c:f>
              <c:numCache>
                <c:formatCode>General</c:formatCode>
                <c:ptCount val="8"/>
                <c:pt idx="0">
                  <c:v>1.0000000000000005E-2</c:v>
                </c:pt>
                <c:pt idx="1">
                  <c:v>4.0000000000000022E-2</c:v>
                </c:pt>
                <c:pt idx="2">
                  <c:v>0.25</c:v>
                </c:pt>
                <c:pt idx="3">
                  <c:v>1</c:v>
                </c:pt>
                <c:pt idx="4">
                  <c:v>4</c:v>
                </c:pt>
                <c:pt idx="5">
                  <c:v>25</c:v>
                </c:pt>
                <c:pt idx="6">
                  <c:v>64</c:v>
                </c:pt>
                <c:pt idx="7">
                  <c:v>400</c:v>
                </c:pt>
              </c:numCache>
            </c:numRef>
          </c:xVal>
          <c:yVal>
            <c:numRef>
              <c:f>Sheet1!$G$31:$G$38</c:f>
              <c:numCache>
                <c:formatCode>General</c:formatCode>
                <c:ptCount val="8"/>
                <c:pt idx="0">
                  <c:v>9.0000000000006768E-5</c:v>
                </c:pt>
                <c:pt idx="1">
                  <c:v>3.8000000000002002E-4</c:v>
                </c:pt>
                <c:pt idx="2">
                  <c:v>2.649999999999941E-3</c:v>
                </c:pt>
                <c:pt idx="3">
                  <c:v>1.0699999999999918E-2</c:v>
                </c:pt>
                <c:pt idx="4">
                  <c:v>4.2500000000000003E-2</c:v>
                </c:pt>
                <c:pt idx="5">
                  <c:v>0.26560000000000006</c:v>
                </c:pt>
                <c:pt idx="6">
                  <c:v>0.68</c:v>
                </c:pt>
                <c:pt idx="7">
                  <c:v>4.25</c:v>
                </c:pt>
              </c:numCache>
            </c:numRef>
          </c:yVal>
          <c:smooth val="0"/>
        </c:ser>
        <c:ser>
          <c:idx val="0"/>
          <c:order val="1"/>
          <c:tx>
            <c:v>50e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Sheet1!$E$31:$E$38</c:f>
              <c:numCache>
                <c:formatCode>General</c:formatCode>
                <c:ptCount val="8"/>
                <c:pt idx="0">
                  <c:v>1.0000000000000005E-2</c:v>
                </c:pt>
                <c:pt idx="1">
                  <c:v>4.0000000000000022E-2</c:v>
                </c:pt>
                <c:pt idx="2">
                  <c:v>0.25</c:v>
                </c:pt>
                <c:pt idx="3">
                  <c:v>1</c:v>
                </c:pt>
                <c:pt idx="4">
                  <c:v>4</c:v>
                </c:pt>
                <c:pt idx="5">
                  <c:v>25</c:v>
                </c:pt>
                <c:pt idx="6">
                  <c:v>64</c:v>
                </c:pt>
                <c:pt idx="7">
                  <c:v>400</c:v>
                </c:pt>
              </c:numCache>
            </c:numRef>
          </c:xVal>
          <c:yVal>
            <c:numRef>
              <c:f>Sheet1!$H$31:$H$38</c:f>
              <c:numCache>
                <c:formatCode>General</c:formatCode>
                <c:ptCount val="8"/>
                <c:pt idx="0">
                  <c:v>-4.9999999999980984E-4</c:v>
                </c:pt>
                <c:pt idx="1">
                  <c:v>-9.9999999999961816E-4</c:v>
                </c:pt>
                <c:pt idx="2">
                  <c:v>2.4999999999997247E-3</c:v>
                </c:pt>
                <c:pt idx="3">
                  <c:v>4.9999999999994745E-3</c:v>
                </c:pt>
                <c:pt idx="4">
                  <c:v>1.4999999999987247E-2</c:v>
                </c:pt>
                <c:pt idx="5">
                  <c:v>0.10499999999997731</c:v>
                </c:pt>
                <c:pt idx="6">
                  <c:v>0.26999999999999397</c:v>
                </c:pt>
                <c:pt idx="7">
                  <c:v>1.6999999999999458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992304"/>
        <c:axId val="261992696"/>
      </c:scatterChart>
      <c:valAx>
        <c:axId val="261992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n(mol)</a:t>
                </a:r>
                <a:r>
                  <a:rPr lang="en-US" baseline="30000"/>
                  <a:t>2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992696"/>
        <c:crosses val="autoZero"/>
        <c:crossBetween val="midCat"/>
      </c:valAx>
      <c:valAx>
        <c:axId val="261992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ym typeface="Symbol"/>
                  </a:defRPr>
                </a:pPr>
                <a:r>
                  <a:rPr lang="en-US">
                    <a:sym typeface="Symbol"/>
                  </a:rPr>
                  <a:t>P(atm)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9923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Figure 3:</a:t>
            </a:r>
          </a:p>
          <a:p>
            <a:pPr>
              <a:defRPr/>
            </a:pPr>
            <a:r>
              <a:rPr lang="en-US" sz="1100"/>
              <a:t> </a:t>
            </a:r>
            <a:r>
              <a:rPr lang="en-US" sz="1100">
                <a:sym typeface="Symbol"/>
              </a:rPr>
              <a:t>P(atm)</a:t>
            </a:r>
            <a:r>
              <a:rPr lang="en-US" sz="1050"/>
              <a:t> for He and Xe vs. 1/V</a:t>
            </a:r>
            <a:r>
              <a:rPr lang="en-US" sz="1050" baseline="30000"/>
              <a:t>2</a:t>
            </a:r>
            <a:r>
              <a:rPr lang="en-US" sz="1050"/>
              <a:t>  at T=300 K and n=1.000 mol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Xe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Sheet1!$E$18:$E$24</c:f>
              <c:numCache>
                <c:formatCode>General</c:formatCode>
                <c:ptCount val="7"/>
                <c:pt idx="0">
                  <c:v>1</c:v>
                </c:pt>
                <c:pt idx="1">
                  <c:v>4.0000000000000022E-2</c:v>
                </c:pt>
                <c:pt idx="2">
                  <c:v>1.0000000000000005E-2</c:v>
                </c:pt>
                <c:pt idx="3">
                  <c:v>2.5000000000000092E-3</c:v>
                </c:pt>
                <c:pt idx="4">
                  <c:v>6.2500000000000294E-4</c:v>
                </c:pt>
                <c:pt idx="5">
                  <c:v>1.0000000000000053E-4</c:v>
                </c:pt>
                <c:pt idx="6">
                  <c:v>2.5000000000000157E-5</c:v>
                </c:pt>
              </c:numCache>
            </c:numRef>
          </c:xVal>
          <c:yVal>
            <c:numRef>
              <c:f>Sheet1!$G$18:$G$24</c:f>
              <c:numCache>
                <c:formatCode>General</c:formatCode>
                <c:ptCount val="7"/>
                <c:pt idx="0">
                  <c:v>4.25</c:v>
                </c:pt>
                <c:pt idx="1">
                  <c:v>0.17</c:v>
                </c:pt>
                <c:pt idx="2">
                  <c:v>4.2500000000000003E-2</c:v>
                </c:pt>
                <c:pt idx="3">
                  <c:v>1.0699999999999918E-2</c:v>
                </c:pt>
                <c:pt idx="4">
                  <c:v>2.649999999999941E-3</c:v>
                </c:pt>
                <c:pt idx="5">
                  <c:v>3.7999999999999314E-4</c:v>
                </c:pt>
                <c:pt idx="6">
                  <c:v>8.9999999999993785E-5</c:v>
                </c:pt>
              </c:numCache>
            </c:numRef>
          </c:yVal>
          <c:smooth val="0"/>
        </c:ser>
        <c:ser>
          <c:idx val="0"/>
          <c:order val="1"/>
          <c:tx>
            <c:v>He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Sheet1!$E$18:$E$24</c:f>
              <c:numCache>
                <c:formatCode>General</c:formatCode>
                <c:ptCount val="7"/>
                <c:pt idx="0">
                  <c:v>1</c:v>
                </c:pt>
                <c:pt idx="1">
                  <c:v>4.0000000000000022E-2</c:v>
                </c:pt>
                <c:pt idx="2">
                  <c:v>1.0000000000000005E-2</c:v>
                </c:pt>
                <c:pt idx="3">
                  <c:v>2.5000000000000092E-3</c:v>
                </c:pt>
                <c:pt idx="4">
                  <c:v>6.2500000000000294E-4</c:v>
                </c:pt>
                <c:pt idx="5">
                  <c:v>1.0000000000000053E-4</c:v>
                </c:pt>
                <c:pt idx="6">
                  <c:v>2.5000000000000157E-5</c:v>
                </c:pt>
              </c:numCache>
            </c:numRef>
          </c:xVal>
          <c:yVal>
            <c:numRef>
              <c:f>Sheet1!$H$18:$H$24</c:f>
              <c:numCache>
                <c:formatCode>General</c:formatCode>
                <c:ptCount val="7"/>
                <c:pt idx="0">
                  <c:v>0.67999999999998184</c:v>
                </c:pt>
                <c:pt idx="1">
                  <c:v>2.7999999999988034E-2</c:v>
                </c:pt>
                <c:pt idx="2">
                  <c:v>7.9999999999991727E-3</c:v>
                </c:pt>
                <c:pt idx="3">
                  <c:v>1.9999999999997823E-3</c:v>
                </c:pt>
                <c:pt idx="4">
                  <c:v>9.9999999999989854E-4</c:v>
                </c:pt>
                <c:pt idx="5">
                  <c:v>1.5999999999993797E-3</c:v>
                </c:pt>
                <c:pt idx="6">
                  <c:v>1.7999999999998573E-3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993480"/>
        <c:axId val="261993872"/>
      </c:scatterChart>
      <c:valAx>
        <c:axId val="261993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1/V(L)</a:t>
                </a:r>
                <a:r>
                  <a:rPr lang="en-US" baseline="30000"/>
                  <a:t>2</a:t>
                </a:r>
                <a:r>
                  <a:rPr lang="en-US"/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993872"/>
        <c:crosses val="autoZero"/>
        <c:crossBetween val="midCat"/>
      </c:valAx>
      <c:valAx>
        <c:axId val="261993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ym typeface="Symbol"/>
                  </a:defRPr>
                </a:pPr>
                <a:r>
                  <a:rPr lang="en-US">
                    <a:sym typeface="Symbol"/>
                  </a:rPr>
                  <a:t>P(atm)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99348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Figure 4: </a:t>
            </a:r>
          </a:p>
          <a:p>
            <a:pPr>
              <a:defRPr/>
            </a:pPr>
            <a:r>
              <a:rPr lang="en-US" sz="1100"/>
              <a:t>% deviance of He and Xe Pressures from Ideality vs. T(K) at V=20.000 L and n=1.000 mol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50*He</c:v>
          </c:tx>
          <c:spPr>
            <a:ln w="28575">
              <a:noFill/>
            </a:ln>
          </c:spPr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</c:numCache>
            </c:numRef>
          </c:xVal>
          <c:yVal>
            <c:numRef>
              <c:f>Sheet1!$G$2:$G$9</c:f>
              <c:numCache>
                <c:formatCode>0.00000E+00</c:formatCode>
                <c:ptCount val="8"/>
                <c:pt idx="0">
                  <c:v>-1.218620521569449</c:v>
                </c:pt>
                <c:pt idx="1">
                  <c:v>-0.6093102607847245</c:v>
                </c:pt>
                <c:pt idx="2">
                  <c:v>-0.4062068405231497</c:v>
                </c:pt>
                <c:pt idx="3">
                  <c:v>-0.30465513039236231</c:v>
                </c:pt>
                <c:pt idx="4">
                  <c:v>-0.24372410431334871</c:v>
                </c:pt>
                <c:pt idx="5">
                  <c:v>-0.20310342026112391</c:v>
                </c:pt>
                <c:pt idx="6">
                  <c:v>-0.17408864593810619</c:v>
                </c:pt>
                <c:pt idx="7">
                  <c:v>-0.1523275651958429</c:v>
                </c:pt>
              </c:numCache>
            </c:numRef>
          </c:yVal>
          <c:smooth val="0"/>
        </c:ser>
        <c:ser>
          <c:idx val="1"/>
          <c:order val="1"/>
          <c:tx>
            <c:v>Xe</c:v>
          </c:tx>
          <c:spPr>
            <a:ln w="28575">
              <a:noFill/>
            </a:ln>
          </c:spPr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</c:numCache>
            </c:numRef>
          </c:xVal>
          <c:yVal>
            <c:numRef>
              <c:f>Sheet1!$H$2:$H$9</c:f>
              <c:numCache>
                <c:formatCode>General</c:formatCode>
                <c:ptCount val="8"/>
                <c:pt idx="0">
                  <c:v>-2.5834755057275212</c:v>
                </c:pt>
                <c:pt idx="1">
                  <c:v>-1.3039239580794504</c:v>
                </c:pt>
                <c:pt idx="2">
                  <c:v>-0.86928263871963052</c:v>
                </c:pt>
                <c:pt idx="3">
                  <c:v>-0.65196197903972364</c:v>
                </c:pt>
                <c:pt idx="4">
                  <c:v>-0.52156958323177838</c:v>
                </c:pt>
                <c:pt idx="5">
                  <c:v>-0.43464131935981704</c:v>
                </c:pt>
                <c:pt idx="6">
                  <c:v>-0.37254970230839768</c:v>
                </c:pt>
                <c:pt idx="7">
                  <c:v>-0.32598098951986554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994656"/>
        <c:axId val="261995048"/>
      </c:scatterChart>
      <c:valAx>
        <c:axId val="261994656"/>
        <c:scaling>
          <c:orientation val="minMax"/>
          <c:max val="9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T(K)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high"/>
        <c:crossAx val="261995048"/>
        <c:crosses val="autoZero"/>
        <c:crossBetween val="midCat"/>
      </c:valAx>
      <c:valAx>
        <c:axId val="261995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deviance from ideality</a:t>
                </a:r>
              </a:p>
            </c:rich>
          </c:tx>
          <c:overlay val="0"/>
        </c:title>
        <c:numFmt formatCode="0.00000E+00" sourceLinked="1"/>
        <c:majorTickMark val="out"/>
        <c:minorTickMark val="none"/>
        <c:tickLblPos val="nextTo"/>
        <c:crossAx val="261994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0.51268</cdr:x>
      <cdr:y>0.56198</cdr:y>
    </cdr:from>
    <cdr:to>
      <cdr:x>0.51567</cdr:x>
      <cdr:y>0.80165</cdr:y>
    </cdr:to>
    <cdr:sp macro="" textlink="">
      <cdr:nvSpPr>
        <cdr:cNvPr id="3" name="Straight Arrow Connector 2"/>
        <cdr:cNvSpPr/>
      </cdr:nvSpPr>
      <cdr:spPr>
        <a:xfrm xmlns:a="http://schemas.openxmlformats.org/drawingml/2006/main">
          <a:off x="2588123" y="1541633"/>
          <a:ext cx="15114" cy="657462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headEnd type="triangle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30F0-40A8-4FF0-A343-49C2DDD6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2016-01-18T02:55:00Z</dcterms:created>
  <dcterms:modified xsi:type="dcterms:W3CDTF">2016-01-25T19:04:00Z</dcterms:modified>
</cp:coreProperties>
</file>